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C554B5" w:rsidRDefault="00C554B5" w:rsidP="00C554B5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bookmarkStart w:id="0" w:name="_GoBack"/>
      <w:bookmarkEnd w:id="0"/>
      <w:r w:rsidRPr="00B94D50">
        <w:rPr>
          <w:rFonts w:ascii="EHUSans" w:hAnsi="EHUSans"/>
          <w:b/>
          <w:sz w:val="32"/>
          <w:szCs w:val="32"/>
          <w:u w:val="single"/>
          <w:lang w:val="eu-ES"/>
        </w:rPr>
        <w:t>2019ko RAMON Y CAJAL DEIALDIA</w:t>
      </w:r>
    </w:p>
    <w:p w:rsidR="00A2548C" w:rsidRPr="00C554B5" w:rsidRDefault="00C554B5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B94D50">
        <w:rPr>
          <w:rFonts w:ascii="EHUSans" w:hAnsi="EHUSans"/>
          <w:b/>
          <w:i/>
          <w:sz w:val="28"/>
          <w:szCs w:val="28"/>
          <w:lang w:val="eu-ES"/>
        </w:rPr>
        <w:t>Ikertzaileak UPV/EHUn sartzeko adierazpen interesgarriak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202299" w:rsidTr="00C554B5">
        <w:tc>
          <w:tcPr>
            <w:tcW w:w="8644" w:type="dxa"/>
            <w:shd w:val="clear" w:color="auto" w:fill="D9D9D9" w:themeFill="background1" w:themeFillShade="D9"/>
          </w:tcPr>
          <w:p w:rsidR="00202299" w:rsidRPr="00C554B5" w:rsidRDefault="00C554B5" w:rsidP="00B94D50">
            <w:pPr>
              <w:jc w:val="both"/>
              <w:rPr>
                <w:rFonts w:ascii="EHUSans" w:hAnsi="EHUSans"/>
                <w:sz w:val="28"/>
                <w:szCs w:val="20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DOKUMENTU HAU IKERKETAREN ARLOKO ERREKTOREORDETZAN TRAMITATZEKO JARRAIBIDEAK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C554B5" w:rsidRDefault="00C554B5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Dokumentu hau </w:t>
      </w:r>
      <w:hyperlink r:id="rId8" w:history="1">
        <w:r w:rsidRPr="00B94D50">
          <w:rPr>
            <w:rStyle w:val="Hiperesteka"/>
            <w:rFonts w:ascii="EHUSans" w:hAnsi="EHUSans"/>
            <w:color w:val="auto"/>
            <w:sz w:val="20"/>
            <w:szCs w:val="20"/>
            <w:lang w:val="eu-ES"/>
          </w:rPr>
          <w:t>pre-postdoc.dgi@ehu.eus</w:t>
        </w:r>
      </w:hyperlink>
      <w:r w:rsidRPr="00B94D50">
        <w:rPr>
          <w:rFonts w:ascii="EHUSans" w:hAnsi="EHUSans"/>
          <w:sz w:val="20"/>
          <w:szCs w:val="20"/>
          <w:lang w:val="eu-ES"/>
        </w:rPr>
        <w:t xml:space="preserve"> helbide elektronikoraz bidaliko da </w:t>
      </w: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2019ko abenduaren </w:t>
      </w:r>
      <w:r w:rsidRPr="00B94D50">
        <w:rPr>
          <w:b/>
          <w:u w:val="single"/>
          <w:lang w:val="eu-ES"/>
        </w:rPr>
        <w:t>30era arte, biak barne</w:t>
      </w:r>
      <w:r w:rsidRPr="00B94D50">
        <w:rPr>
          <w:lang w:val="eu-ES"/>
        </w:rPr>
        <w:t>, gaiaren arloan “</w:t>
      </w:r>
      <w:r w:rsidRPr="00B94D50">
        <w:rPr>
          <w:rFonts w:ascii="EHUSans" w:hAnsi="EHUSans"/>
          <w:i/>
          <w:sz w:val="20"/>
          <w:szCs w:val="20"/>
          <w:lang w:val="eu-ES"/>
        </w:rPr>
        <w:t>Ramón y Cajal deialdia</w:t>
      </w:r>
      <w:r w:rsidRPr="00B94D50">
        <w:rPr>
          <w:rFonts w:ascii="EHUSans" w:hAnsi="EHUSans"/>
          <w:sz w:val="20"/>
          <w:szCs w:val="20"/>
          <w:lang w:val="eu-ES"/>
        </w:rPr>
        <w:t xml:space="preserve">” jarrita. </w:t>
      </w:r>
      <w:r w:rsidR="00202299" w:rsidRPr="00C554B5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>Ikerketa, Garapen eta Berrikuntza Batzordeak (aurrerantzean IGBB) ez ditu ebaluatuko egun horretatik aurrera jasotako interes adierazpenak.</w:t>
      </w:r>
    </w:p>
    <w:p w:rsidR="00C73796" w:rsidRDefault="00C73796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</w:p>
    <w:p w:rsidR="00C73796" w:rsidRPr="00985E7D" w:rsidRDefault="00C554B5" w:rsidP="00202299">
      <w:pPr>
        <w:spacing w:after="0" w:line="240" w:lineRule="auto"/>
        <w:jc w:val="both"/>
        <w:rPr>
          <w:rFonts w:ascii="EHUSans" w:hAnsi="EHUSans"/>
          <w:b/>
          <w:color w:val="FF0000"/>
          <w:sz w:val="20"/>
          <w:szCs w:val="20"/>
        </w:rPr>
      </w:pP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"Adierazpen interesgarria" pdf formatuan (sinatuta) eta Word formatuan (sinadurarik gabe) bidali beharko da, 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IAE</w:t>
      </w: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>ren datu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</w:t>
      </w: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basean sartzea errazteko. </w:t>
      </w:r>
      <w:r w:rsidR="00C73796" w:rsidRPr="00985E7D">
        <w:rPr>
          <w:rFonts w:ascii="EHUSans" w:hAnsi="EHUSans"/>
          <w:b/>
          <w:color w:val="FF0000"/>
          <w:sz w:val="20"/>
          <w:szCs w:val="20"/>
          <w:u w:val="single"/>
        </w:rPr>
        <w:t xml:space="preserve"> 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Gainera, proposatutako hautagaiaren CVa erantsi beharko da.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985E7D" w:rsidP="00A2548C">
      <w:pPr>
        <w:spacing w:after="0" w:line="240" w:lineRule="auto"/>
        <w:rPr>
          <w:rFonts w:ascii="EHUSans" w:hAnsi="EHUSans"/>
          <w:sz w:val="20"/>
          <w:szCs w:val="20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Barne-izapide horrek ez du zerikusirik hautagaiek eskabideak aurkeztearekin. 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lang w:val="eu-ES"/>
        </w:rPr>
        <w:t>Beraz, hautagaiei gomendatzen zaie ez itxaroteko IGBBk ebazpena jakinarazi arte eskabidea aurkezteko.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Hau da Ramón y Cajal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Eusko Jaurlaritzaren deialdietan (diru laguntza jaso ala ez) edo UPV/EHUren deialdietan ikertalde aktibotzat aitortutako ikertaldeek baino ezin izango dute hautagairik proposatu.</w:t>
            </w:r>
            <w:r w:rsidR="00AE533B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«interes adierazpen» bat besterik ezin izango du proposatu deialdi honetan.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edo INSTITUTUAREN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Ramon y Cajal ikertzailea hartuko duen sail edo institutuko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985E7D" w:rsidP="00B94D50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PROPOSATUTAKO RAMÓN Y CAJAL HAUTAGAIA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985E7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hautagai bat besterik ez du proposatuko edo interesa agertu honako dokumentu honen bidez, hautatutako ikertzailea bertan hartzeko.</w:t>
            </w:r>
            <w:r w:rsidR="00C73796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  <w:t>Azken kasu honetan, ez da atal hau bete behar.</w:t>
            </w:r>
            <w:r w:rsidR="00446347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985E7D" w:rsidP="00B94D5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GARRANTZITSUA: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hautagai bakarra onartuko da interes adierazpen bakoitzeko. 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Hautagai bat baino gehiago dituzten eskabideak barne prozedura honetatik kanpo geratuko dira.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262"/>
        <w:gridCol w:w="7402"/>
      </w:tblGrid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IKERKETA ILDOA</w:t>
            </w:r>
            <w:r w:rsidR="00CB5C29" w:rsidRPr="00985E7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CB5C29" w:rsidTr="00763058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985E7D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CB5C29" w:rsidTr="0076305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985E7D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IGBBk hautatuko balu, deskribapen hau MCIUk argitaratuko du UPV/EHUko plazen eskaintzaren barruan.</w:t>
            </w:r>
            <w:r w:rsidR="00837531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2755D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Testua argitara emango da eta, beraz, ezin izango da hautagai jakin bati buruzko aipamenik egin.</w:t>
            </w:r>
            <w:r w:rsidR="00860412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Tr="00763058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EBALUATZEKO ARLO TEMATIKOA</w:t>
            </w:r>
          </w:p>
        </w:tc>
      </w:tr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Arlo hauetako bakoitzaren deskribapen osoa </w:t>
            </w:r>
            <w:hyperlink r:id="rId9" w:history="1">
              <w:r w:rsidRPr="00B94D50">
                <w:rPr>
                  <w:rStyle w:val="Hiperesteka"/>
                  <w:rFonts w:ascii="EHUSans" w:hAnsi="EHUSans"/>
                  <w:i/>
                  <w:color w:val="auto"/>
                  <w:sz w:val="20"/>
                  <w:szCs w:val="20"/>
                  <w:lang w:val="eu-ES"/>
                </w:rPr>
                <w:t>esteka honetan</w:t>
              </w:r>
            </w:hyperlink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kontsulta daiteke.</w:t>
            </w:r>
            <w:r w:rsidR="00554823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Aukera bakarra markatu X batez</w:t>
            </w:r>
            <w:r w:rsidR="00763058"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 xml:space="preserve"> (arloa + azpiarloa)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.</w:t>
            </w:r>
            <w:r w:rsidR="00571DE9" w:rsidRPr="00763058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571DE9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571DE9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3596"/>
      </w:tblGrid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Kimika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Kimikoa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Kimika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Garraioa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Fisika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Astronomia eta astrofisika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Ikerkuntza espaziala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Oinarrizko eta partikulen fisika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Fisika eta bere aplikazioak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Materialen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Biomedikuntzarako materialak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 eta ingurumenerako materialak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Egiturazko materialak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Funtzionaltasun elektriko, magnetiko, optiko edo termikoa duten materialak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Matematika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Matematika zientziak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Ekoizpen industriala, ingeniaritza zibila eta gizarterako ingeniaritzak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biomedikoa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zibila eta arkitektura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elektrikoa, elektronikoa eta automatikoa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mekaniko, ontzigintza eta aeronautikoa</w:t>
            </w:r>
          </w:p>
        </w:tc>
      </w:tr>
      <w:tr w:rsidR="00710FE1" w:rsidRPr="00F03526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Informazio eta komunikazioaren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Konputazio zientziak eta teknologia informatikoa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Mikroelektronika, nanoteknologia eta fotonika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Komunikazio teknologiak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Komunikazioa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Politika zientzia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Ikasketa feministak, emakume eta generoari buruzkoak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Geografia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Soziologia eta gizarte antropologia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Zuzenbidea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Ekonomia eta bere aplikazioak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Enpresak eta finantzak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Analisi ekonomikoetarako metodoak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Hezkuntza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Hezkuntza zientziak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Kultura:</w:t>
            </w:r>
            <w:r w:rsidR="002A7B63" w:rsidRPr="00763058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filologia, literatura eta 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Artea, arte ederrak, museistika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Literatura, filologia, antzinako hizkuntza eta kulturak eta kultur ikasketak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Adimena, hizkuntza eta 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Filosofia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Hizkuntzalaritza eta hizkuntzak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Iraganeko ikasketak:</w:t>
            </w:r>
            <w:r w:rsidR="002A7B63" w:rsidRPr="00763058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B94D50">
              <w:rPr>
                <w:rFonts w:ascii="EHUSans" w:hAnsi="EHUSans"/>
                <w:sz w:val="20"/>
                <w:lang w:val="eu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2A7B63" w:rsidP="00763058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763058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Arkeologia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Historia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Psikologia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Biologia integratzailea eta fisiologia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Biologia molekularra eta zelularra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Bioteknologia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Minbizia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Diagnosi, pronostiko eta terapiarako tresnak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Nerbio sistemaren gaixotasunak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Organo eta sistemen fisiopatologia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Immunologia, infekzioa eta terapia berriak</w:t>
            </w:r>
          </w:p>
        </w:tc>
      </w:tr>
      <w:tr w:rsidR="00710FE1" w:rsidRPr="00F03526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Nekazaritza eta 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Elikagaien zientzia eta teknologiak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Nekazaritza eta oihangintza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Abeltzaintza eta akuikultura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Ingurumen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Biodibertsitatea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Lurraren eta uraren zientziak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Klima eta atmosfera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Itsasoaren zientziak eta teknologiak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Poloetako ikerkuntza</w:t>
            </w:r>
          </w:p>
        </w:tc>
      </w:tr>
    </w:tbl>
    <w:p w:rsidR="00ED7DED" w:rsidRDefault="00ED7DE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554823" w:rsidRDefault="0055482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900"/>
        <w:gridCol w:w="1873"/>
      </w:tblGrid>
      <w:tr w:rsidR="00ED7DED" w:rsidTr="00763058">
        <w:tc>
          <w:tcPr>
            <w:tcW w:w="8644" w:type="dxa"/>
            <w:gridSpan w:val="3"/>
            <w:shd w:val="clear" w:color="auto" w:fill="auto"/>
          </w:tcPr>
          <w:p w:rsidR="00FB0459" w:rsidRPr="00763058" w:rsidRDefault="00763058" w:rsidP="00B94D50">
            <w:pPr>
              <w:rPr>
                <w:rFonts w:ascii="EHUSans" w:hAnsi="EHUSans"/>
                <w:sz w:val="28"/>
                <w:szCs w:val="20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ADIERAZITAKO IKERTALDEAREN KALITATE ADIERAZLE ZIENTIFIKOEN LABURPENA. 2014-2019 ALDIA</w:t>
            </w:r>
          </w:p>
        </w:tc>
      </w:tr>
      <w:tr w:rsidR="00ED7DED" w:rsidTr="00763058">
        <w:tc>
          <w:tcPr>
            <w:tcW w:w="4871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ADIERAZLEA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NAGUSIARENA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 OSOARENA</w:t>
            </w: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Artikulu kopurua aldizkari zientifikoetan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Liburu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Liburuetako kapitulu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Aipuak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Hitzaldi gonbidatuen eta ponentzien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Patente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Erakusketak eta arte lanak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Zuzendutako doktorego tesien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763058" w:rsidRDefault="00763058" w:rsidP="00A2548C">
      <w:pPr>
        <w:spacing w:after="0" w:line="240" w:lineRule="auto"/>
        <w:rPr>
          <w:rFonts w:ascii="EHUSans" w:hAnsi="EHUSans"/>
          <w:sz w:val="20"/>
          <w:szCs w:val="20"/>
        </w:rPr>
      </w:pPr>
      <w:r w:rsidRPr="00B94D50">
        <w:rPr>
          <w:rFonts w:ascii="EHUSans" w:hAnsi="EHUSans"/>
          <w:sz w:val="20"/>
          <w:szCs w:val="20"/>
          <w:lang w:val="eu-ES"/>
        </w:rPr>
        <w:softHyphen/>
      </w:r>
      <w:r w:rsidRPr="00B94D50">
        <w:rPr>
          <w:rFonts w:ascii="EHUSans" w:hAnsi="EHUSans"/>
          <w:sz w:val="20"/>
          <w:szCs w:val="20"/>
          <w:lang w:val="eu-ES"/>
        </w:rPr>
        <w:softHyphen/>
      </w:r>
      <w:r w:rsidRPr="00B94D50">
        <w:rPr>
          <w:rFonts w:ascii="EHUSans" w:hAnsi="EHUSans"/>
          <w:sz w:val="20"/>
          <w:szCs w:val="20"/>
          <w:lang w:val="eu-ES"/>
        </w:rPr>
        <w:softHyphen/>
        <w:t>_________(e)n, 2019.eko ___________aren __(e)an.</w:t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02299" w:rsidTr="00571638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571638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57163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202299" w:rsidRPr="00571638" w:rsidRDefault="0057163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10"/>
      <w:footerReference w:type="default" r:id="rId11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7D" w:rsidRDefault="00985E7D" w:rsidP="0044799F">
      <w:pPr>
        <w:spacing w:after="0" w:line="240" w:lineRule="auto"/>
      </w:pPr>
      <w:r>
        <w:separator/>
      </w:r>
    </w:p>
  </w:endnote>
  <w:endnote w:type="continuationSeparator" w:id="0">
    <w:p w:rsidR="00985E7D" w:rsidRDefault="00985E7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985E7D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Pr="00D57915">
              <w:rPr>
                <w:rStyle w:val="Hiperesteka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Pr="00D57915">
              <w:rPr>
                <w:rStyle w:val="Hiperesteka"/>
                <w:rFonts w:ascii="EHUSans" w:hAnsi="EHUSans" w:cs="Arial"/>
                <w:sz w:val="16"/>
                <w:szCs w:val="16"/>
              </w:rPr>
              <w:t>www.ehu.eus</w:t>
            </w:r>
          </w:hyperlink>
          <w:r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 Auzoa,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7D" w:rsidRDefault="00985E7D" w:rsidP="0044799F">
      <w:pPr>
        <w:spacing w:after="0" w:line="240" w:lineRule="auto"/>
      </w:pPr>
      <w:r>
        <w:separator/>
      </w:r>
    </w:p>
  </w:footnote>
  <w:footnote w:type="continuationSeparator" w:id="0">
    <w:p w:rsidR="00985E7D" w:rsidRDefault="00985E7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985E7D">
    <w:pPr>
      <w:pStyle w:val="Goiburua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985E7D" w:rsidRDefault="00985E7D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85E7D" w:rsidRPr="00905B6C" w:rsidRDefault="00985E7D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985E7D" w:rsidRPr="00FC4F79" w:rsidRDefault="00985E7D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40"/>
  <w:revisionView w:markup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F43EB"/>
    <w:rsid w:val="00202299"/>
    <w:rsid w:val="0020700F"/>
    <w:rsid w:val="002116CD"/>
    <w:rsid w:val="002359CC"/>
    <w:rsid w:val="002A7B63"/>
    <w:rsid w:val="002C5DDA"/>
    <w:rsid w:val="002C7079"/>
    <w:rsid w:val="002E41B8"/>
    <w:rsid w:val="00354DF5"/>
    <w:rsid w:val="003B2330"/>
    <w:rsid w:val="003E0CD7"/>
    <w:rsid w:val="003F187D"/>
    <w:rsid w:val="00440FB0"/>
    <w:rsid w:val="00446347"/>
    <w:rsid w:val="0044799F"/>
    <w:rsid w:val="0048747C"/>
    <w:rsid w:val="004C3441"/>
    <w:rsid w:val="004E5880"/>
    <w:rsid w:val="0053156D"/>
    <w:rsid w:val="00535F02"/>
    <w:rsid w:val="00554823"/>
    <w:rsid w:val="00571638"/>
    <w:rsid w:val="00571DE9"/>
    <w:rsid w:val="006740C7"/>
    <w:rsid w:val="00683773"/>
    <w:rsid w:val="006B36FD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7531"/>
    <w:rsid w:val="00854493"/>
    <w:rsid w:val="00860412"/>
    <w:rsid w:val="00863933"/>
    <w:rsid w:val="00973BD6"/>
    <w:rsid w:val="00985E7D"/>
    <w:rsid w:val="009E7F37"/>
    <w:rsid w:val="009F5E2B"/>
    <w:rsid w:val="00A16C08"/>
    <w:rsid w:val="00A16DA3"/>
    <w:rsid w:val="00A2548C"/>
    <w:rsid w:val="00AA160A"/>
    <w:rsid w:val="00AB7810"/>
    <w:rsid w:val="00AE533B"/>
    <w:rsid w:val="00B32728"/>
    <w:rsid w:val="00B46003"/>
    <w:rsid w:val="00B5335E"/>
    <w:rsid w:val="00B94D50"/>
    <w:rsid w:val="00C013FD"/>
    <w:rsid w:val="00C21A1D"/>
    <w:rsid w:val="00C554B5"/>
    <w:rsid w:val="00C73796"/>
    <w:rsid w:val="00C85835"/>
    <w:rsid w:val="00CB5C29"/>
    <w:rsid w:val="00D17A4E"/>
    <w:rsid w:val="00D35866"/>
    <w:rsid w:val="00D57915"/>
    <w:rsid w:val="00D731FC"/>
    <w:rsid w:val="00DA2DD4"/>
    <w:rsid w:val="00DC671A"/>
    <w:rsid w:val="00DD44F3"/>
    <w:rsid w:val="00DD6036"/>
    <w:rsid w:val="00DF3E75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4D22C2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48747C"/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basedOn w:val="Paragrafoarenletra-tipolehenetsia"/>
    <w:uiPriority w:val="99"/>
    <w:unhideWhenUsed/>
    <w:rsid w:val="00554823"/>
    <w:rPr>
      <w:color w:val="0000FF" w:themeColor="hyperlink"/>
      <w:u w:val="single"/>
    </w:rPr>
  </w:style>
  <w:style w:type="paragraph" w:styleId="Zerrenda-paragrafoa">
    <w:name w:val="List Paragraph"/>
    <w:basedOn w:val="Normala"/>
    <w:uiPriority w:val="34"/>
    <w:qFormat/>
    <w:rsid w:val="006F456E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44799F"/>
  </w:style>
  <w:style w:type="paragraph" w:styleId="Orri-oina">
    <w:name w:val="footer"/>
    <w:basedOn w:val="Normala"/>
    <w:link w:val="Orri-oinaK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4799F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i.mineco.gob.es/stfls/MICINN/Ayudas/PE_2013_2016/PE_Promocion_e_Incorporacion_Talento_y_su_Empleabilidad/FICHEROS/SE_Incorporacion/Incorporacion_estable_doctores_IED_2017/Areas_tematicas_descripcion_Enero_17_sin_transferenci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F65D-AD0E-4B2F-9D7F-2E42FF69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944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AGUSTIN OTSOA DE ERIBE</cp:lastModifiedBy>
  <cp:revision>23</cp:revision>
  <cp:lastPrinted>2017-10-30T14:27:00Z</cp:lastPrinted>
  <dcterms:created xsi:type="dcterms:W3CDTF">2017-11-09T16:26:00Z</dcterms:created>
  <dcterms:modified xsi:type="dcterms:W3CDTF">2019-12-16T10:11:00Z</dcterms:modified>
</cp:coreProperties>
</file>