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tabs>
          <w:tab w:val="left" w:pos="1800"/>
        </w:tabs>
        <w:rPr/>
      </w:pPr>
      <w:r w:rsidDel="00000000" w:rsidR="00000000" w:rsidRPr="00000000">
        <w:rPr>
          <w:rtl w:val="0"/>
        </w:rPr>
        <w:t xml:space="preserve">II. ERANSKINA</w:t>
      </w:r>
    </w:p>
    <w:p w:rsidR="00000000" w:rsidDel="00000000" w:rsidP="00000000" w:rsidRDefault="00000000" w:rsidRPr="00000000" w14:paraId="00000001">
      <w:pPr>
        <w:pStyle w:val="Heading1"/>
        <w:tabs>
          <w:tab w:val="left" w:pos="1800"/>
        </w:tabs>
        <w:rPr/>
      </w:pPr>
      <w:r w:rsidDel="00000000" w:rsidR="00000000" w:rsidRPr="00000000">
        <w:rPr>
          <w:rtl w:val="0"/>
        </w:rPr>
        <w:t xml:space="preserve">Miríada X plataformako ikastaroentzako OINARRIZKO ANTOLAKETA</w:t>
      </w:r>
    </w:p>
    <w:p w:rsidR="00000000" w:rsidDel="00000000" w:rsidP="00000000" w:rsidRDefault="00000000" w:rsidRPr="00000000" w14:paraId="00000002">
      <w:pPr>
        <w:pStyle w:val="Heading2"/>
        <w:tabs>
          <w:tab w:val="left" w:pos="1800"/>
        </w:tabs>
        <w:rPr/>
      </w:pPr>
      <w:r w:rsidDel="00000000" w:rsidR="00000000" w:rsidRPr="00000000">
        <w:rPr>
          <w:rtl w:val="0"/>
        </w:rPr>
        <w:t xml:space="preserve">1.Iraunpena eta lan-zama</w:t>
      </w:r>
    </w:p>
    <w:p w:rsidR="00000000" w:rsidDel="00000000" w:rsidP="00000000" w:rsidRDefault="00000000" w:rsidRPr="00000000" w14:paraId="00000003">
      <w:pPr>
        <w:rPr/>
      </w:pPr>
      <w:r w:rsidDel="00000000" w:rsidR="00000000" w:rsidRPr="00000000">
        <w:rPr>
          <w:rtl w:val="0"/>
        </w:rPr>
        <w:t xml:space="preserve">Ikastaroek gutxienez lau aste iraun beharko dute, eta, gehienez, hamabi. Gomendagarriena ikastaroak sei astekoak izatea da. Deialdian esandakoaren arabera, irakasle taldeak ikastaroa gutxienez 2 ediziotan eskaintzeko konpromisoa hartzen du.</w:t>
      </w:r>
    </w:p>
    <w:p w:rsidR="00000000" w:rsidDel="00000000" w:rsidP="00000000" w:rsidRDefault="00000000" w:rsidRPr="00000000" w14:paraId="00000004">
      <w:pPr>
        <w:spacing w:after="200" w:line="278.4" w:lineRule="auto"/>
        <w:ind w:left="0" w:firstLine="0"/>
        <w:rPr/>
      </w:pPr>
      <w:r w:rsidDel="00000000" w:rsidR="00000000" w:rsidRPr="00000000">
        <w:rPr>
          <w:rtl w:val="0"/>
        </w:rPr>
        <w:t xml:space="preserve">Ikasleak ikastaroari eskaini beharreko denbora ez da izan behar asteko bost ordutik gorakoa.</w:t>
      </w:r>
    </w:p>
    <w:p w:rsidR="00000000" w:rsidDel="00000000" w:rsidP="00000000" w:rsidRDefault="00000000" w:rsidRPr="00000000" w14:paraId="00000005">
      <w:pPr>
        <w:pStyle w:val="Heading2"/>
        <w:tabs>
          <w:tab w:val="left" w:pos="1800"/>
        </w:tabs>
        <w:rPr/>
      </w:pPr>
      <w:r w:rsidDel="00000000" w:rsidR="00000000" w:rsidRPr="00000000">
        <w:rPr>
          <w:rtl w:val="0"/>
        </w:rPr>
        <w:t xml:space="preserve">2.Egitura</w:t>
      </w:r>
    </w:p>
    <w:p w:rsidR="00000000" w:rsidDel="00000000" w:rsidP="00000000" w:rsidRDefault="00000000" w:rsidRPr="00000000" w14:paraId="00000006">
      <w:pPr>
        <w:rPr/>
      </w:pPr>
      <w:r w:rsidDel="00000000" w:rsidR="00000000" w:rsidRPr="00000000">
        <w:rPr>
          <w:rtl w:val="0"/>
        </w:rPr>
        <w:t xml:space="preserve">Online ikastaroa moduluka antolatuta egon beharko da eta modulu hauek modu argi eta orekatuan egituratuta egon beharko dira. Helburua ikastaroan parte hartuko duten erabiltzaileek edukien eta baliabideen jarraipena errazago egitea izango da. </w:t>
      </w:r>
    </w:p>
    <w:p w:rsidR="00000000" w:rsidDel="00000000" w:rsidP="00000000" w:rsidRDefault="00000000" w:rsidRPr="00000000" w14:paraId="00000007">
      <w:pPr>
        <w:pStyle w:val="Heading2"/>
        <w:tabs>
          <w:tab w:val="left" w:pos="1800"/>
        </w:tabs>
        <w:rPr/>
      </w:pPr>
      <w:r w:rsidDel="00000000" w:rsidR="00000000" w:rsidRPr="00000000">
        <w:rPr>
          <w:rtl w:val="0"/>
        </w:rPr>
        <w:t xml:space="preserve">3.Baliabideak eta Moduluak</w:t>
      </w:r>
    </w:p>
    <w:p w:rsidR="00000000" w:rsidDel="00000000" w:rsidP="00000000" w:rsidRDefault="00000000" w:rsidRPr="00000000" w14:paraId="00000008">
      <w:pPr>
        <w:rPr/>
      </w:pPr>
      <w:r w:rsidDel="00000000" w:rsidR="00000000" w:rsidRPr="00000000">
        <w:rPr>
          <w:rtl w:val="0"/>
        </w:rPr>
        <w:t xml:space="preserve">Edukiak eta baliabideak irakasle taldeak gehituko ditu Miriada X plataformara. Behar izanez gero, eCampus Zerbitzuaren laguntza izango dute.</w:t>
      </w:r>
    </w:p>
    <w:p w:rsidR="00000000" w:rsidDel="00000000" w:rsidP="00000000" w:rsidRDefault="00000000" w:rsidRPr="00000000" w14:paraId="00000009">
      <w:pPr>
        <w:rPr/>
      </w:pPr>
      <w:r w:rsidDel="00000000" w:rsidR="00000000" w:rsidRPr="00000000">
        <w:rPr>
          <w:rtl w:val="0"/>
        </w:rPr>
        <w:t xml:space="preserve">Modulu bakoitzak, nahitaez, honako hauek izan beharko ditu: ikus-entzunezko materiala, laguntza material teorikoa eta ebaluazio sistema..</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360" w:right="0" w:hanging="360"/>
        <w:jc w:val="both"/>
        <w:rPr/>
      </w:pPr>
      <w:r w:rsidDel="00000000" w:rsidR="00000000" w:rsidRPr="00000000">
        <w:rPr>
          <w:b w:val="1"/>
          <w:rtl w:val="0"/>
        </w:rPr>
        <w:t xml:space="preserve">Ikus-entzunezko materiala</w:t>
      </w:r>
      <w:r w:rsidDel="00000000" w:rsidR="00000000" w:rsidRPr="00000000">
        <w:rPr>
          <w:rFonts w:ascii="EHUSans" w:cs="EHUSans" w:eastAsia="EHUSans" w:hAnsi="EHUSans"/>
          <w:b w:val="0"/>
          <w:i w:val="0"/>
          <w:smallCaps w:val="0"/>
          <w:strike w:val="0"/>
          <w:color w:val="000000"/>
          <w:sz w:val="22"/>
          <w:szCs w:val="22"/>
          <w:u w:val="none"/>
          <w:shd w:fill="auto" w:val="clear"/>
          <w:vertAlign w:val="baseline"/>
          <w:rtl w:val="0"/>
        </w:rPr>
        <w:t xml:space="preserve">. Moduluko edukiak behienbat ikus-entzunezkoak izan beharko dira, azpitituluekin</w:t>
      </w:r>
      <w:r w:rsidDel="00000000" w:rsidR="00000000" w:rsidRPr="00000000">
        <w:rPr>
          <w:rtl w:val="0"/>
        </w:rPr>
        <w:t xml:space="preserve">, eta irakasle taldeko partaideek egin beharko dute kontaketa. Ikus-entzunezko materiala grabatzeko, eCampusak beharrezko diren instalazioak dtu, baita ikastaroak prestatu behar dituzten irakasleei laguntzeko langile espezializatuak ere. Modulu bakoitzean ikus-entzunezko edukiek 30 eta 90 minutu bitartean iraun behar dute (bataz beste 60 bat minutu). Bideo bakoitzak 3 eta 12 minutu bitartean iraun behar ditu.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360" w:right="0" w:hanging="360"/>
        <w:jc w:val="both"/>
        <w:rPr/>
      </w:pPr>
      <w:r w:rsidDel="00000000" w:rsidR="00000000" w:rsidRPr="00000000">
        <w:rPr>
          <w:b w:val="1"/>
          <w:rtl w:val="0"/>
        </w:rPr>
        <w:t xml:space="preserve">Material teorikoa. </w:t>
      </w:r>
      <w:r w:rsidDel="00000000" w:rsidR="00000000" w:rsidRPr="00000000">
        <w:rPr>
          <w:rtl w:val="0"/>
        </w:rPr>
        <w:t xml:space="preserve">Irakasle taldeak ikus-entzunezko materiala osatuko duen dokumentazio lagungarria ema beharko du. Hauek fitxategiak, kanpoko estekak, irakurgaiak, lotura duten bideoak, etab. Oro har, gutxienez bi baliabide eman behar dira bideoko hogeita hamar minutuko.</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1"/>
        </w:rPr>
      </w:pPr>
      <w:r w:rsidDel="00000000" w:rsidR="00000000" w:rsidRPr="00000000">
        <w:rPr>
          <w:b w:val="1"/>
          <w:rtl w:val="0"/>
        </w:rPr>
        <w:t xml:space="preserve">Ebaluazio sistema. </w:t>
      </w:r>
      <w:r w:rsidDel="00000000" w:rsidR="00000000" w:rsidRPr="00000000">
        <w:rPr>
          <w:rtl w:val="0"/>
        </w:rPr>
        <w:t xml:space="preserve">Modulu bakoitzaren bukaeran modulu horretan lortu dituzten ezagutzak ebaluatzeko sistema bat ezarri ahalko dute. Bukaeran eginten den ebaluazio hau, ikastaroan zehar egin daitzkeen beste ebaluazio ariketekin osatuko da.</w:t>
      </w:r>
    </w:p>
    <w:p w:rsidR="00000000" w:rsidDel="00000000" w:rsidP="00000000" w:rsidRDefault="00000000" w:rsidRPr="00000000" w14:paraId="0000000D">
      <w:pPr>
        <w:pStyle w:val="Heading2"/>
        <w:tabs>
          <w:tab w:val="left" w:pos="1800"/>
        </w:tabs>
        <w:rPr/>
      </w:pPr>
      <w:r w:rsidDel="00000000" w:rsidR="00000000" w:rsidRPr="00000000">
        <w:rPr>
          <w:rtl w:val="0"/>
        </w:rPr>
        <w:t xml:space="preserve">4.Zero modulua</w:t>
      </w:r>
    </w:p>
    <w:p w:rsidR="00000000" w:rsidDel="00000000" w:rsidP="00000000" w:rsidRDefault="00000000" w:rsidRPr="00000000" w14:paraId="0000000E">
      <w:pPr>
        <w:rPr/>
      </w:pPr>
      <w:r w:rsidDel="00000000" w:rsidR="00000000" w:rsidRPr="00000000">
        <w:rPr>
          <w:rtl w:val="0"/>
        </w:rPr>
        <w:t xml:space="preserve">Aurrekoaz gain, ikastaroak zero modulu bat izan beharko du (sarrera modulua) non, ikastaroan zehar landuko dena laburbiltzen duen bideoa agertuko den. Horrez gain, modulu honetan ikastaroko ikasleek dituzten aurre-ezagutzak ebaluatu ahal izango dira, irakasleek hasiera maila zein den jakiteko.</w:t>
      </w:r>
    </w:p>
    <w:p w:rsidR="00000000" w:rsidDel="00000000" w:rsidP="00000000" w:rsidRDefault="00000000" w:rsidRPr="00000000" w14:paraId="0000000F">
      <w:pPr>
        <w:pStyle w:val="Heading2"/>
        <w:tabs>
          <w:tab w:val="left" w:pos="1800"/>
        </w:tabs>
        <w:rPr/>
      </w:pPr>
      <w:r w:rsidDel="00000000" w:rsidR="00000000" w:rsidRPr="00000000">
        <w:rPr>
          <w:rtl w:val="0"/>
        </w:rPr>
        <w:t xml:space="preserve">5.Komunitatea</w:t>
      </w:r>
    </w:p>
    <w:p w:rsidR="00000000" w:rsidDel="00000000" w:rsidP="00000000" w:rsidRDefault="00000000" w:rsidRPr="00000000" w14:paraId="00000010">
      <w:pPr>
        <w:rPr/>
      </w:pPr>
      <w:r w:rsidDel="00000000" w:rsidR="00000000" w:rsidRPr="00000000">
        <w:rPr>
          <w:rtl w:val="0"/>
        </w:rPr>
        <w:t xml:space="preserve">Ikastaroan parte hartzen duten ikasleen arteko komunikazioa sustatzeko eta ezagutzen trukatzea sustatzeko, irakasle taldeak foro bat sortu beharko du. Eztabaida foroaz gain, irakasle taldeak elkarlanean aritzeko beste komunikazio tresna batzuk ere eskura izango ditu, hala nola, bloga, posta-elektronikoa, wikia, etab.</w:t>
      </w:r>
    </w:p>
    <w:p w:rsidR="00000000" w:rsidDel="00000000" w:rsidP="00000000" w:rsidRDefault="00000000" w:rsidRPr="00000000" w14:paraId="00000011">
      <w:pPr>
        <w:pStyle w:val="Heading2"/>
        <w:tabs>
          <w:tab w:val="left" w:pos="1800"/>
        </w:tabs>
        <w:rPr/>
      </w:pPr>
      <w:r w:rsidDel="00000000" w:rsidR="00000000" w:rsidRPr="00000000">
        <w:rPr>
          <w:rtl w:val="0"/>
        </w:rPr>
        <w:t xml:space="preserve">6.Jabetza intelektuala </w:t>
      </w:r>
    </w:p>
    <w:p w:rsidR="00000000" w:rsidDel="00000000" w:rsidP="00000000" w:rsidRDefault="00000000" w:rsidRPr="00000000" w14:paraId="00000012">
      <w:pPr>
        <w:rPr/>
      </w:pPr>
      <w:r w:rsidDel="00000000" w:rsidR="00000000" w:rsidRPr="00000000">
        <w:rPr>
          <w:rtl w:val="0"/>
        </w:rPr>
        <w:t xml:space="preserve">MOOC ikastaroen izaera irekia dela eta, Miriada X plataformako ikastaroetako material guztiak </w:t>
      </w:r>
      <w:r w:rsidDel="00000000" w:rsidR="00000000" w:rsidRPr="00000000">
        <w:rPr>
          <w:i w:val="1"/>
          <w:rtl w:val="0"/>
        </w:rPr>
        <w:t xml:space="preserve">Creative Commons</w:t>
      </w:r>
      <w:r w:rsidDel="00000000" w:rsidR="00000000" w:rsidRPr="00000000">
        <w:rPr>
          <w:rtl w:val="0"/>
        </w:rPr>
        <w:t xml:space="preserve"> 4.0 BY-NC-SA lizentziapean argitaratu beharko dira, ezinbestean. Irakasleek erabakiko dute beraien edukiak Creative Commons erako zein lizentziapean argitaratuko diren.</w:t>
      </w:r>
    </w:p>
    <w:p w:rsidR="00000000" w:rsidDel="00000000" w:rsidP="00000000" w:rsidRDefault="00000000" w:rsidRPr="00000000" w14:paraId="00000013">
      <w:pPr>
        <w:rPr/>
      </w:pPr>
      <w:r w:rsidDel="00000000" w:rsidR="00000000" w:rsidRPr="00000000">
        <w:rPr>
          <w:rtl w:val="0"/>
        </w:rPr>
        <w:t xml:space="preserve"> </w:t>
      </w:r>
      <w:r w:rsidDel="00000000" w:rsidR="00000000" w:rsidRPr="00000000">
        <w:rPr>
          <w:rtl w:val="0"/>
        </w:rPr>
      </w:r>
    </w:p>
    <w:sectPr>
      <w:headerReference r:id="rId6" w:type="default"/>
      <w:footerReference r:id="rId7" w:type="default"/>
      <w:pgSz w:h="16837" w:w="11905"/>
      <w:pgMar w:bottom="924" w:top="2370" w:left="1134" w:right="1134" w:header="567"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ourier New"/>
  <w:font w:name="EHU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069"/>
      </w:tabs>
      <w:spacing w:after="120" w:before="240" w:line="276" w:lineRule="auto"/>
      <w:ind w:left="0" w:right="0" w:firstLine="0"/>
      <w:jc w:val="both"/>
      <w:rPr>
        <w:rFonts w:ascii="EHUSans" w:cs="EHUSans" w:eastAsia="EHUSans" w:hAnsi="EHU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240" w:line="276" w:lineRule="auto"/>
      <w:ind w:left="0" w:right="0" w:firstLine="0"/>
      <w:jc w:val="right"/>
      <w:rPr>
        <w:rFonts w:ascii="EHUSans" w:cs="EHUSans" w:eastAsia="EHUSans" w:hAnsi="EHUSan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5111115</wp:posOffset>
          </wp:positionH>
          <wp:positionV relativeFrom="paragraph">
            <wp:posOffset>675474</wp:posOffset>
          </wp:positionV>
          <wp:extent cx="1221105" cy="278130"/>
          <wp:effectExtent b="0" l="0" r="0" t="0"/>
          <wp:wrapNone/>
          <wp:docPr descr="Z:\_Multimedia\Logos\UPV submarcas\eCampus\LOGO eCampus_positivo_baja2.jpg" id="1" name="image1.jpg"/>
          <a:graphic>
            <a:graphicData uri="http://schemas.openxmlformats.org/drawingml/2006/picture">
              <pic:pic>
                <pic:nvPicPr>
                  <pic:cNvPr descr="Z:\_Multimedia\Logos\UPV submarcas\eCampus\LOGO eCampus_positivo_baja2.jpg" id="0" name="image1.jpg"/>
                  <pic:cNvPicPr preferRelativeResize="0"/>
                </pic:nvPicPr>
                <pic:blipFill>
                  <a:blip r:embed="rId1"/>
                  <a:srcRect b="0" l="0" r="0" t="0"/>
                  <a:stretch>
                    <a:fillRect/>
                  </a:stretch>
                </pic:blipFill>
                <pic:spPr>
                  <a:xfrm>
                    <a:off x="0" y="0"/>
                    <a:ext cx="1221105" cy="2781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-457696</wp:posOffset>
          </wp:positionH>
          <wp:positionV relativeFrom="paragraph">
            <wp:posOffset>0</wp:posOffset>
          </wp:positionV>
          <wp:extent cx="2870421" cy="1105231"/>
          <wp:effectExtent b="0" l="0" r="0" t="0"/>
          <wp:wrapNone/>
          <wp:docPr descr="UPV_Campus de Excelencia_blanco_fer.wmf" id="2" name="image2.png"/>
          <a:graphic>
            <a:graphicData uri="http://schemas.openxmlformats.org/drawingml/2006/picture">
              <pic:pic>
                <pic:nvPicPr>
                  <pic:cNvPr descr="UPV_Campus de Excelencia_blanco_fer.wmf" id="0" name="image2.png"/>
                  <pic:cNvPicPr preferRelativeResize="0"/>
                </pic:nvPicPr>
                <pic:blipFill>
                  <a:blip r:embed="rId2"/>
                  <a:srcRect b="0" l="0" r="0" t="0"/>
                  <a:stretch>
                    <a:fillRect/>
                  </a:stretch>
                </pic:blipFill>
                <pic:spPr>
                  <a:xfrm>
                    <a:off x="0" y="0"/>
                    <a:ext cx="2870421" cy="11052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20" w:hanging="700"/>
      </w:pPr>
      <w:rPr>
        <w:rFonts w:ascii="EHUSans" w:cs="EHUSans" w:eastAsia="EHUSans" w:hAnsi="EHUSan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HUSans" w:cs="EHUSans" w:eastAsia="EHUSans" w:hAnsi="EHUSans"/>
        <w:sz w:val="22"/>
        <w:szCs w:val="22"/>
        <w:lang w:val="es-ES_tradnl"/>
      </w:rPr>
    </w:rPrDefault>
    <w:pPrDefault>
      <w:pPr>
        <w:spacing w:after="12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1800"/>
      </w:tabs>
      <w:jc w:val="left"/>
    </w:pPr>
    <w:rPr>
      <w:b w:val="1"/>
      <w:color w:val="4f81bd"/>
      <w:sz w:val="36"/>
      <w:szCs w:val="36"/>
    </w:rPr>
  </w:style>
  <w:style w:type="paragraph" w:styleId="Heading2">
    <w:name w:val="heading 2"/>
    <w:basedOn w:val="Normal"/>
    <w:next w:val="Normal"/>
    <w:pPr>
      <w:keepNext w:val="1"/>
      <w:tabs>
        <w:tab w:val="left" w:pos="1800"/>
      </w:tabs>
    </w:pPr>
    <w:rPr>
      <w:b w:val="1"/>
      <w:color w:val="4f81bd"/>
      <w:sz w:val="28"/>
      <w:szCs w:val="28"/>
    </w:rPr>
  </w:style>
  <w:style w:type="paragraph" w:styleId="Heading3">
    <w:name w:val="heading 3"/>
    <w:basedOn w:val="Normal"/>
    <w:next w:val="Normal"/>
    <w:pPr>
      <w:keepNext w:val="1"/>
    </w:pPr>
    <w:rPr>
      <w:i w:val="1"/>
      <w:color w:val="4f81bd"/>
      <w:sz w:val="24"/>
      <w:szCs w:val="24"/>
    </w:rPr>
  </w:style>
  <w:style w:type="paragraph" w:styleId="Heading4">
    <w:name w:val="heading 4"/>
    <w:basedOn w:val="Normal"/>
    <w:next w:val="Normal"/>
    <w:pPr>
      <w:keepNext w:val="1"/>
    </w:pPr>
    <w:rPr>
      <w:b w:val="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spacing w:after="60" w:lineRule="auto"/>
    </w:pPr>
    <w:rPr>
      <w:rFonts w:ascii="Times New Roman" w:cs="Times New Roman" w:eastAsia="Times New Roman" w:hAnsi="Times New Roman"/>
      <w:b w:val="1"/>
    </w:rPr>
  </w:style>
  <w:style w:type="paragraph" w:styleId="Title">
    <w:name w:val="Title"/>
    <w:basedOn w:val="Normal"/>
    <w:next w:val="Normal"/>
    <w:pPr>
      <w:keepNext w:val="1"/>
      <w:pBdr>
        <w:bottom w:color="000000" w:space="0" w:sz="4" w:val="single"/>
      </w:pBdr>
      <w:spacing w:after="240" w:before="0" w:lineRule="auto"/>
    </w:pPr>
    <w:rPr>
      <w:i w:val="1"/>
      <w:color w:val="4f81bd"/>
      <w:sz w:val="28"/>
      <w:szCs w:val="28"/>
    </w:rPr>
  </w:style>
  <w:style w:type="paragraph" w:styleId="Subtitle">
    <w:name w:val="Subtitle"/>
    <w:basedOn w:val="Normal"/>
    <w:next w:val="Normal"/>
    <w:pPr>
      <w:spacing w:after="60" w:lineRule="auto"/>
      <w:jc w:val="center"/>
    </w:pPr>
    <w:rPr>
      <w:rFonts w:ascii="Cambria" w:cs="Cambria" w:eastAsia="Cambria" w:hAnsi="Camb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