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8A" w:rsidRDefault="00757CE8" w:rsidP="00757CE8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542056" cy="1317699"/>
            <wp:effectExtent l="19050" t="0" r="1244" b="0"/>
            <wp:docPr id="1" name="Imagen 1" descr="20urte_copatrocinio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20urte_copatrocinios (2)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212" cy="131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CE8" w:rsidRDefault="004433C0" w:rsidP="00757CE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</w:t>
      </w:r>
      <w:r w:rsidR="00757CE8">
        <w:rPr>
          <w:b/>
          <w:sz w:val="24"/>
          <w:szCs w:val="24"/>
          <w:u w:val="single"/>
        </w:rPr>
        <w:t>I</w:t>
      </w:r>
      <w:r w:rsidR="00757CE8" w:rsidRPr="00757CE8">
        <w:rPr>
          <w:b/>
          <w:sz w:val="24"/>
          <w:szCs w:val="24"/>
          <w:u w:val="single"/>
        </w:rPr>
        <w:t xml:space="preserve"> JORNADA SOBRE EL MERCADO DE VALORES</w:t>
      </w:r>
    </w:p>
    <w:p w:rsidR="00757CE8" w:rsidRDefault="00757CE8" w:rsidP="00757CE8">
      <w:pPr>
        <w:jc w:val="both"/>
        <w:rPr>
          <w:sz w:val="24"/>
          <w:szCs w:val="24"/>
        </w:rPr>
      </w:pPr>
      <w:r w:rsidRPr="00757CE8">
        <w:rPr>
          <w:b/>
          <w:sz w:val="24"/>
          <w:szCs w:val="24"/>
        </w:rPr>
        <w:t>Lugar de celebración</w:t>
      </w:r>
      <w:r>
        <w:rPr>
          <w:sz w:val="24"/>
          <w:szCs w:val="24"/>
        </w:rPr>
        <w:t xml:space="preserve">. Facultad de Derecho de la UPV, campus de </w:t>
      </w:r>
      <w:proofErr w:type="spellStart"/>
      <w:r>
        <w:rPr>
          <w:sz w:val="24"/>
          <w:szCs w:val="24"/>
        </w:rPr>
        <w:t>Leio</w:t>
      </w:r>
      <w:r w:rsidR="004433C0">
        <w:rPr>
          <w:sz w:val="24"/>
          <w:szCs w:val="24"/>
        </w:rPr>
        <w:t>a</w:t>
      </w:r>
      <w:proofErr w:type="spellEnd"/>
      <w:r w:rsidR="004433C0">
        <w:rPr>
          <w:sz w:val="24"/>
          <w:szCs w:val="24"/>
        </w:rPr>
        <w:t>. Edificio de Derecho. Aula 2.4</w:t>
      </w:r>
      <w:r>
        <w:rPr>
          <w:sz w:val="24"/>
          <w:szCs w:val="24"/>
        </w:rPr>
        <w:t>.</w:t>
      </w:r>
    </w:p>
    <w:p w:rsidR="00757CE8" w:rsidRDefault="00757CE8" w:rsidP="00757CE8">
      <w:pPr>
        <w:jc w:val="both"/>
        <w:rPr>
          <w:sz w:val="24"/>
          <w:szCs w:val="24"/>
        </w:rPr>
      </w:pPr>
      <w:r w:rsidRPr="00757CE8">
        <w:rPr>
          <w:b/>
          <w:sz w:val="24"/>
          <w:szCs w:val="24"/>
        </w:rPr>
        <w:t>Día y hora.</w:t>
      </w:r>
      <w:r>
        <w:rPr>
          <w:sz w:val="24"/>
          <w:szCs w:val="24"/>
        </w:rPr>
        <w:t xml:space="preserve"> El día </w:t>
      </w:r>
      <w:r w:rsidR="004433C0">
        <w:rPr>
          <w:sz w:val="24"/>
          <w:szCs w:val="24"/>
        </w:rPr>
        <w:t>27 de noviembre</w:t>
      </w:r>
      <w:r>
        <w:rPr>
          <w:sz w:val="24"/>
          <w:szCs w:val="24"/>
        </w:rPr>
        <w:t>, m</w:t>
      </w:r>
      <w:r w:rsidR="004433C0">
        <w:rPr>
          <w:sz w:val="24"/>
          <w:szCs w:val="24"/>
        </w:rPr>
        <w:t>artes</w:t>
      </w:r>
      <w:r>
        <w:rPr>
          <w:sz w:val="24"/>
          <w:szCs w:val="24"/>
        </w:rPr>
        <w:t>, en horario de 16.00h a 20.00h.</w:t>
      </w:r>
    </w:p>
    <w:p w:rsidR="00757CE8" w:rsidRDefault="00757CE8" w:rsidP="00757CE8">
      <w:pPr>
        <w:jc w:val="both"/>
        <w:rPr>
          <w:sz w:val="24"/>
          <w:szCs w:val="24"/>
        </w:rPr>
      </w:pPr>
      <w:r w:rsidRPr="00757CE8">
        <w:rPr>
          <w:b/>
          <w:sz w:val="24"/>
          <w:szCs w:val="24"/>
        </w:rPr>
        <w:t>Ponente</w:t>
      </w:r>
      <w:r>
        <w:rPr>
          <w:sz w:val="24"/>
          <w:szCs w:val="24"/>
        </w:rPr>
        <w:t xml:space="preserve">. </w:t>
      </w:r>
      <w:r w:rsidRPr="00757CE8">
        <w:rPr>
          <w:sz w:val="24"/>
          <w:szCs w:val="24"/>
          <w:u w:val="single"/>
        </w:rPr>
        <w:t>D. Javier Jose Benito Diaz-Romeral</w:t>
      </w:r>
      <w:r>
        <w:rPr>
          <w:sz w:val="24"/>
          <w:szCs w:val="24"/>
        </w:rPr>
        <w:t xml:space="preserve">, Director Renta Variable, Fondos de Inversión &amp; Renta fija, de la entidad financiera Bankinter. Docente en la Academia </w:t>
      </w:r>
      <w:proofErr w:type="spellStart"/>
      <w:r>
        <w:rPr>
          <w:sz w:val="24"/>
          <w:szCs w:val="24"/>
        </w:rPr>
        <w:t>Broker</w:t>
      </w:r>
      <w:proofErr w:type="spellEnd"/>
      <w:r>
        <w:rPr>
          <w:sz w:val="24"/>
          <w:szCs w:val="24"/>
        </w:rPr>
        <w:t xml:space="preserve"> Bankinter. Licenciado en Administración y Dirección de Empresas, Facultad de </w:t>
      </w:r>
      <w:proofErr w:type="spellStart"/>
      <w:r>
        <w:rPr>
          <w:sz w:val="24"/>
          <w:szCs w:val="24"/>
        </w:rPr>
        <w:t>Sarriko</w:t>
      </w:r>
      <w:proofErr w:type="spellEnd"/>
      <w:r>
        <w:rPr>
          <w:sz w:val="24"/>
          <w:szCs w:val="24"/>
        </w:rPr>
        <w:t xml:space="preserve"> (UPV).</w:t>
      </w:r>
    </w:p>
    <w:p w:rsidR="00757CE8" w:rsidRDefault="00757CE8" w:rsidP="00113593">
      <w:pPr>
        <w:spacing w:after="0"/>
        <w:jc w:val="both"/>
        <w:rPr>
          <w:sz w:val="24"/>
          <w:szCs w:val="24"/>
        </w:rPr>
      </w:pPr>
      <w:r w:rsidRPr="00757CE8">
        <w:rPr>
          <w:b/>
          <w:sz w:val="24"/>
          <w:szCs w:val="24"/>
        </w:rPr>
        <w:t>Programa a desarrollar</w:t>
      </w:r>
      <w:r>
        <w:rPr>
          <w:sz w:val="24"/>
          <w:szCs w:val="24"/>
        </w:rPr>
        <w:t xml:space="preserve">. </w:t>
      </w:r>
    </w:p>
    <w:p w:rsidR="00757CE8" w:rsidRPr="00757CE8" w:rsidRDefault="00757CE8" w:rsidP="0011359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Psicología del inversor</w:t>
      </w:r>
    </w:p>
    <w:p w:rsidR="00757CE8" w:rsidRPr="00757CE8" w:rsidRDefault="00757CE8" w:rsidP="0011359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57CE8">
        <w:rPr>
          <w:sz w:val="24"/>
          <w:szCs w:val="24"/>
        </w:rPr>
        <w:t>Fórmulas del éxito</w:t>
      </w:r>
    </w:p>
    <w:p w:rsidR="00757CE8" w:rsidRPr="00757CE8" w:rsidRDefault="00757CE8" w:rsidP="0011359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57CE8">
        <w:rPr>
          <w:sz w:val="24"/>
          <w:szCs w:val="24"/>
        </w:rPr>
        <w:t>Niveles de pérdida</w:t>
      </w:r>
    </w:p>
    <w:p w:rsidR="00757CE8" w:rsidRPr="00757CE8" w:rsidRDefault="00757CE8" w:rsidP="00757CE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57CE8">
        <w:rPr>
          <w:sz w:val="24"/>
          <w:szCs w:val="24"/>
        </w:rPr>
        <w:t>Método y disciplina</w:t>
      </w:r>
    </w:p>
    <w:p w:rsidR="00757CE8" w:rsidRPr="00757CE8" w:rsidRDefault="00757CE8" w:rsidP="00113593">
      <w:pPr>
        <w:numPr>
          <w:ilvl w:val="0"/>
          <w:numId w:val="1"/>
        </w:numPr>
        <w:spacing w:after="0" w:line="240" w:lineRule="auto"/>
        <w:ind w:hanging="431"/>
        <w:jc w:val="both"/>
        <w:rPr>
          <w:sz w:val="24"/>
          <w:szCs w:val="24"/>
        </w:rPr>
      </w:pPr>
      <w:r w:rsidRPr="00757CE8">
        <w:rPr>
          <w:sz w:val="24"/>
          <w:szCs w:val="24"/>
        </w:rPr>
        <w:t>Objetivos económicos</w:t>
      </w:r>
    </w:p>
    <w:p w:rsidR="00757CE8" w:rsidRPr="00757CE8" w:rsidRDefault="00757CE8" w:rsidP="00757CE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57CE8">
        <w:rPr>
          <w:sz w:val="24"/>
          <w:szCs w:val="24"/>
        </w:rPr>
        <w:t>Análisis de resultados</w:t>
      </w:r>
    </w:p>
    <w:p w:rsidR="00757CE8" w:rsidRPr="00757CE8" w:rsidRDefault="00757CE8" w:rsidP="00757CE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57CE8">
        <w:rPr>
          <w:sz w:val="24"/>
          <w:szCs w:val="24"/>
        </w:rPr>
        <w:t>Introducción análisis técnico</w:t>
      </w:r>
    </w:p>
    <w:p w:rsidR="00757CE8" w:rsidRPr="00757CE8" w:rsidRDefault="00757CE8" w:rsidP="00757CE8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757CE8">
        <w:rPr>
          <w:sz w:val="24"/>
          <w:szCs w:val="24"/>
        </w:rPr>
        <w:t>Candlestick</w:t>
      </w:r>
      <w:proofErr w:type="spellEnd"/>
    </w:p>
    <w:p w:rsidR="00757CE8" w:rsidRPr="00757CE8" w:rsidRDefault="00757CE8" w:rsidP="00757CE8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57CE8">
        <w:rPr>
          <w:sz w:val="24"/>
          <w:szCs w:val="24"/>
        </w:rPr>
        <w:t>Tendencias, soportes y resistencias</w:t>
      </w:r>
    </w:p>
    <w:p w:rsidR="00757CE8" w:rsidRPr="00757CE8" w:rsidRDefault="00757CE8" w:rsidP="00757CE8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57CE8">
        <w:rPr>
          <w:sz w:val="24"/>
          <w:szCs w:val="24"/>
        </w:rPr>
        <w:t>Figuras de cambio y continuación de tendencia</w:t>
      </w:r>
    </w:p>
    <w:p w:rsidR="00757CE8" w:rsidRDefault="00757CE8" w:rsidP="00757CE8">
      <w:pPr>
        <w:spacing w:after="0" w:line="240" w:lineRule="auto"/>
        <w:jc w:val="both"/>
        <w:rPr>
          <w:sz w:val="24"/>
          <w:szCs w:val="24"/>
        </w:rPr>
      </w:pPr>
    </w:p>
    <w:p w:rsidR="00757CE8" w:rsidRDefault="00757CE8" w:rsidP="00757CE8">
      <w:pPr>
        <w:spacing w:after="0" w:line="240" w:lineRule="auto"/>
        <w:jc w:val="both"/>
        <w:rPr>
          <w:sz w:val="24"/>
          <w:szCs w:val="24"/>
        </w:rPr>
      </w:pPr>
      <w:r w:rsidRPr="00757CE8">
        <w:rPr>
          <w:b/>
          <w:sz w:val="24"/>
          <w:szCs w:val="24"/>
        </w:rPr>
        <w:t>Ponente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D. Jose Vicente Garcí</w:t>
      </w:r>
      <w:r w:rsidRPr="00757CE8">
        <w:rPr>
          <w:sz w:val="24"/>
          <w:szCs w:val="24"/>
          <w:u w:val="single"/>
        </w:rPr>
        <w:t xml:space="preserve">a </w:t>
      </w:r>
      <w:r w:rsidR="00113593">
        <w:rPr>
          <w:sz w:val="24"/>
          <w:szCs w:val="24"/>
          <w:u w:val="single"/>
        </w:rPr>
        <w:t>Pérez</w:t>
      </w:r>
      <w:r>
        <w:rPr>
          <w:sz w:val="24"/>
          <w:szCs w:val="24"/>
        </w:rPr>
        <w:t xml:space="preserve">, Licenciado en Económicas, por la Facultad de </w:t>
      </w:r>
      <w:proofErr w:type="spellStart"/>
      <w:r>
        <w:rPr>
          <w:sz w:val="24"/>
          <w:szCs w:val="24"/>
        </w:rPr>
        <w:t>Sarriko</w:t>
      </w:r>
      <w:proofErr w:type="spellEnd"/>
      <w:r>
        <w:rPr>
          <w:sz w:val="24"/>
          <w:szCs w:val="24"/>
        </w:rPr>
        <w:t xml:space="preserve">, UPV, Fundador y Director de diversas </w:t>
      </w:r>
      <w:r w:rsidR="00BA4A06">
        <w:rPr>
          <w:sz w:val="24"/>
          <w:szCs w:val="24"/>
        </w:rPr>
        <w:t>compañías</w:t>
      </w:r>
      <w:r>
        <w:rPr>
          <w:sz w:val="24"/>
          <w:szCs w:val="24"/>
        </w:rPr>
        <w:t xml:space="preserve">, siendo su último cargo el de Director General </w:t>
      </w:r>
      <w:r w:rsidR="00BA4A06">
        <w:rPr>
          <w:sz w:val="24"/>
          <w:szCs w:val="24"/>
        </w:rPr>
        <w:t>de una empresa de distribución. Ostenta una experiencia de concurrencia al mercado de valores de más de 40 años, dedicando, actualmente, parte de su tiempo, a intervenir en este mercado.</w:t>
      </w:r>
    </w:p>
    <w:p w:rsidR="00BA4A06" w:rsidRDefault="00BA4A06" w:rsidP="00757CE8">
      <w:pPr>
        <w:spacing w:after="0" w:line="240" w:lineRule="auto"/>
        <w:jc w:val="both"/>
        <w:rPr>
          <w:sz w:val="24"/>
          <w:szCs w:val="24"/>
        </w:rPr>
      </w:pPr>
    </w:p>
    <w:p w:rsidR="00BA4A06" w:rsidRDefault="00BA4A06" w:rsidP="00757CE8">
      <w:pPr>
        <w:spacing w:after="0" w:line="240" w:lineRule="auto"/>
        <w:jc w:val="both"/>
        <w:rPr>
          <w:sz w:val="24"/>
          <w:szCs w:val="24"/>
        </w:rPr>
      </w:pPr>
      <w:r w:rsidRPr="00BA4A06">
        <w:rPr>
          <w:b/>
          <w:sz w:val="24"/>
          <w:szCs w:val="24"/>
        </w:rPr>
        <w:t>Programa a desarrollar</w:t>
      </w:r>
      <w:r>
        <w:rPr>
          <w:sz w:val="24"/>
          <w:szCs w:val="24"/>
        </w:rPr>
        <w:t>.</w:t>
      </w:r>
    </w:p>
    <w:p w:rsidR="00052FE9" w:rsidRDefault="00052FE9" w:rsidP="00052FE9">
      <w:pPr>
        <w:spacing w:after="0" w:line="240" w:lineRule="auto"/>
        <w:ind w:left="709"/>
        <w:rPr>
          <w:rFonts w:eastAsia="Times New Roman"/>
          <w:sz w:val="24"/>
          <w:szCs w:val="24"/>
        </w:rPr>
      </w:pPr>
      <w:r w:rsidRPr="00052FE9">
        <w:rPr>
          <w:rFonts w:eastAsia="Times New Roman"/>
          <w:sz w:val="24"/>
          <w:szCs w:val="24"/>
        </w:rPr>
        <w:t>1.</w:t>
      </w:r>
      <w:r w:rsidRPr="00052FE9">
        <w:rPr>
          <w:rFonts w:eastAsia="Times New Roman"/>
          <w:sz w:val="24"/>
          <w:szCs w:val="24"/>
        </w:rPr>
        <w:tab/>
        <w:t>Alternativas de Inversión</w:t>
      </w:r>
    </w:p>
    <w:p w:rsidR="00052FE9" w:rsidRDefault="00052FE9" w:rsidP="00052FE9">
      <w:pPr>
        <w:spacing w:after="0" w:line="240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ab/>
      </w:r>
      <w:r w:rsidRPr="00052FE9">
        <w:rPr>
          <w:rFonts w:eastAsia="Times New Roman"/>
          <w:sz w:val="24"/>
          <w:szCs w:val="24"/>
        </w:rPr>
        <w:t>La inversión en acciones</w:t>
      </w:r>
    </w:p>
    <w:p w:rsidR="00052FE9" w:rsidRDefault="00052FE9" w:rsidP="00052FE9">
      <w:pPr>
        <w:spacing w:after="0" w:line="240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>
        <w:rPr>
          <w:rFonts w:eastAsia="Times New Roman"/>
          <w:sz w:val="24"/>
          <w:szCs w:val="24"/>
        </w:rPr>
        <w:tab/>
      </w:r>
      <w:r w:rsidRPr="00052FE9">
        <w:rPr>
          <w:rFonts w:eastAsia="Times New Roman"/>
          <w:sz w:val="24"/>
          <w:szCs w:val="24"/>
        </w:rPr>
        <w:t>Gestión activa y pasiva</w:t>
      </w:r>
    </w:p>
    <w:p w:rsidR="00052FE9" w:rsidRDefault="00052FE9" w:rsidP="00052FE9">
      <w:pPr>
        <w:spacing w:after="0" w:line="240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>
        <w:rPr>
          <w:rFonts w:eastAsia="Times New Roman"/>
          <w:sz w:val="24"/>
          <w:szCs w:val="24"/>
        </w:rPr>
        <w:tab/>
      </w:r>
      <w:r w:rsidRPr="00052FE9">
        <w:rPr>
          <w:rFonts w:eastAsia="Times New Roman"/>
          <w:sz w:val="24"/>
          <w:szCs w:val="24"/>
        </w:rPr>
        <w:t>Mentiras en la gestión externa de carteras</w:t>
      </w:r>
    </w:p>
    <w:p w:rsidR="00052FE9" w:rsidRDefault="00052FE9" w:rsidP="00052FE9">
      <w:pPr>
        <w:spacing w:after="0" w:line="240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</w:t>
      </w:r>
      <w:r>
        <w:rPr>
          <w:rFonts w:eastAsia="Times New Roman"/>
          <w:sz w:val="24"/>
          <w:szCs w:val="24"/>
        </w:rPr>
        <w:tab/>
      </w:r>
      <w:r w:rsidRPr="00052FE9">
        <w:rPr>
          <w:rFonts w:eastAsia="Times New Roman"/>
          <w:sz w:val="24"/>
          <w:szCs w:val="24"/>
        </w:rPr>
        <w:t>Diseñar una cartera de valores.</w:t>
      </w:r>
      <w:r>
        <w:rPr>
          <w:rFonts w:eastAsia="Times New Roman"/>
          <w:sz w:val="24"/>
          <w:szCs w:val="24"/>
        </w:rPr>
        <w:t xml:space="preserve"> </w:t>
      </w:r>
      <w:r w:rsidRPr="00052FE9">
        <w:rPr>
          <w:rFonts w:eastAsia="Times New Roman"/>
          <w:sz w:val="24"/>
          <w:szCs w:val="24"/>
        </w:rPr>
        <w:t>El valor perfecto</w:t>
      </w:r>
      <w:r>
        <w:rPr>
          <w:rFonts w:eastAsia="Times New Roman"/>
          <w:sz w:val="24"/>
          <w:szCs w:val="24"/>
        </w:rPr>
        <w:br/>
        <w:t>6.</w:t>
      </w:r>
      <w:r>
        <w:rPr>
          <w:rFonts w:eastAsia="Times New Roman"/>
          <w:sz w:val="24"/>
          <w:szCs w:val="24"/>
        </w:rPr>
        <w:tab/>
      </w:r>
      <w:r w:rsidRPr="00052FE9">
        <w:rPr>
          <w:rFonts w:eastAsia="Times New Roman"/>
          <w:sz w:val="24"/>
          <w:szCs w:val="24"/>
        </w:rPr>
        <w:t>Valores a evitar</w:t>
      </w:r>
    </w:p>
    <w:p w:rsidR="00052FE9" w:rsidRDefault="00052FE9" w:rsidP="00052FE9">
      <w:pPr>
        <w:spacing w:after="0" w:line="240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</w:t>
      </w:r>
      <w:r>
        <w:rPr>
          <w:rFonts w:eastAsia="Times New Roman"/>
          <w:sz w:val="24"/>
          <w:szCs w:val="24"/>
        </w:rPr>
        <w:tab/>
      </w:r>
      <w:r w:rsidRPr="00052FE9">
        <w:rPr>
          <w:rFonts w:eastAsia="Times New Roman"/>
          <w:sz w:val="24"/>
          <w:szCs w:val="24"/>
        </w:rPr>
        <w:t>¿La bolsa es un casino?</w:t>
      </w:r>
    </w:p>
    <w:p w:rsidR="00052FE9" w:rsidRPr="00052FE9" w:rsidRDefault="00052FE9" w:rsidP="00052FE9">
      <w:pPr>
        <w:spacing w:after="0" w:line="240" w:lineRule="auto"/>
        <w:ind w:left="709"/>
        <w:rPr>
          <w:rFonts w:eastAsia="Times New Roman"/>
          <w:sz w:val="24"/>
          <w:szCs w:val="24"/>
        </w:rPr>
      </w:pPr>
      <w:r w:rsidRPr="00052FE9">
        <w:rPr>
          <w:rFonts w:eastAsia="Times New Roman"/>
          <w:sz w:val="24"/>
          <w:szCs w:val="24"/>
        </w:rPr>
        <w:t>8.</w:t>
      </w:r>
      <w:r>
        <w:rPr>
          <w:rFonts w:eastAsia="Times New Roman"/>
          <w:sz w:val="24"/>
          <w:szCs w:val="24"/>
        </w:rPr>
        <w:tab/>
      </w:r>
      <w:r w:rsidRPr="00052FE9">
        <w:rPr>
          <w:rFonts w:eastAsia="Times New Roman"/>
          <w:sz w:val="24"/>
          <w:szCs w:val="24"/>
        </w:rPr>
        <w:t>Productos derivados.</w:t>
      </w:r>
      <w:r>
        <w:rPr>
          <w:rFonts w:eastAsia="Times New Roman"/>
          <w:sz w:val="24"/>
          <w:szCs w:val="24"/>
        </w:rPr>
        <w:t xml:space="preserve"> </w:t>
      </w:r>
      <w:r w:rsidRPr="00052FE9">
        <w:rPr>
          <w:rFonts w:eastAsia="Times New Roman"/>
          <w:sz w:val="24"/>
          <w:szCs w:val="24"/>
        </w:rPr>
        <w:t>Alfa y Beta de una acción.</w:t>
      </w:r>
    </w:p>
    <w:p w:rsidR="00052FE9" w:rsidRPr="00052FE9" w:rsidRDefault="00052FE9" w:rsidP="00052FE9">
      <w:pPr>
        <w:spacing w:after="0" w:line="240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9. </w:t>
      </w:r>
      <w:r>
        <w:rPr>
          <w:rFonts w:eastAsia="Times New Roman"/>
          <w:sz w:val="24"/>
          <w:szCs w:val="24"/>
        </w:rPr>
        <w:tab/>
      </w:r>
      <w:r w:rsidRPr="00052FE9">
        <w:rPr>
          <w:rFonts w:eastAsia="Times New Roman"/>
          <w:sz w:val="24"/>
          <w:szCs w:val="24"/>
        </w:rPr>
        <w:t>Cobertura de Cartera de valores</w:t>
      </w:r>
    </w:p>
    <w:p w:rsidR="00052FE9" w:rsidRPr="00052FE9" w:rsidRDefault="00052FE9" w:rsidP="00052FE9">
      <w:pPr>
        <w:spacing w:after="0"/>
        <w:rPr>
          <w:rFonts w:eastAsia="Times New Roman"/>
          <w:sz w:val="24"/>
          <w:szCs w:val="24"/>
        </w:rPr>
      </w:pPr>
    </w:p>
    <w:p w:rsidR="00BA4A06" w:rsidRDefault="00052FE9" w:rsidP="00757CE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BA4A06" w:rsidRPr="00BA4A06">
        <w:rPr>
          <w:b/>
          <w:sz w:val="24"/>
          <w:szCs w:val="24"/>
        </w:rPr>
        <w:t>oordinador.</w:t>
      </w:r>
      <w:r w:rsidR="00BA4A06">
        <w:rPr>
          <w:sz w:val="24"/>
          <w:szCs w:val="24"/>
        </w:rPr>
        <w:t xml:space="preserve"> D. Angel Pagazaurtundua Uriarte, Profesor Asociado de la Facultad de Derecho de la UPV, Departamento de Derecho de la Empresa, Campus de </w:t>
      </w:r>
      <w:proofErr w:type="spellStart"/>
      <w:r w:rsidR="00BA4A06">
        <w:rPr>
          <w:sz w:val="24"/>
          <w:szCs w:val="24"/>
        </w:rPr>
        <w:t>Leioa</w:t>
      </w:r>
      <w:proofErr w:type="spellEnd"/>
      <w:r w:rsidR="00BA4A06">
        <w:rPr>
          <w:sz w:val="24"/>
          <w:szCs w:val="24"/>
        </w:rPr>
        <w:t>.</w:t>
      </w:r>
    </w:p>
    <w:sectPr w:rsidR="00BA4A06" w:rsidSect="00113593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02675"/>
    <w:multiLevelType w:val="hybridMultilevel"/>
    <w:tmpl w:val="5218D256"/>
    <w:lvl w:ilvl="0" w:tplc="B860DE18">
      <w:start w:val="1"/>
      <w:numFmt w:val="decimal"/>
      <w:lvlText w:val="%1."/>
      <w:lvlJc w:val="left"/>
      <w:pPr>
        <w:ind w:left="1140" w:hanging="432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D30628"/>
    <w:multiLevelType w:val="hybridMultilevel"/>
    <w:tmpl w:val="6DD2ABCC"/>
    <w:lvl w:ilvl="0" w:tplc="BBC2B856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hyphenationZone w:val="425"/>
  <w:characterSpacingControl w:val="doNotCompress"/>
  <w:compat/>
  <w:rsids>
    <w:rsidRoot w:val="00757CE8"/>
    <w:rsid w:val="00052FE9"/>
    <w:rsid w:val="000678A5"/>
    <w:rsid w:val="00113593"/>
    <w:rsid w:val="004433C0"/>
    <w:rsid w:val="00757CE8"/>
    <w:rsid w:val="00791715"/>
    <w:rsid w:val="00B34B8A"/>
    <w:rsid w:val="00BA4A06"/>
    <w:rsid w:val="00C60D56"/>
    <w:rsid w:val="00D16E1A"/>
    <w:rsid w:val="00D63360"/>
    <w:rsid w:val="00ED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35726.7E498EC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IRATXE</dc:creator>
  <cp:lastModifiedBy>IRATXE</cp:lastModifiedBy>
  <cp:revision>3</cp:revision>
  <cp:lastPrinted>2017-11-06T17:20:00Z</cp:lastPrinted>
  <dcterms:created xsi:type="dcterms:W3CDTF">2018-11-16T14:46:00Z</dcterms:created>
  <dcterms:modified xsi:type="dcterms:W3CDTF">2018-11-19T18:10:00Z</dcterms:modified>
</cp:coreProperties>
</file>