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37" w:rsidRPr="00A36537" w:rsidRDefault="00A36537" w:rsidP="00A36537">
      <w:pPr>
        <w:spacing w:before="100" w:beforeAutospacing="1" w:after="100" w:afterAutospacing="1"/>
        <w:outlineLvl w:val="0"/>
        <w:rPr>
          <w:rFonts w:ascii="EHUSans" w:eastAsia="Times New Roman" w:hAnsi="EHUSans"/>
          <w:b/>
          <w:bCs/>
          <w:kern w:val="36"/>
          <w:sz w:val="48"/>
          <w:szCs w:val="48"/>
          <w:lang w:eastAsia="es-ES"/>
        </w:rPr>
      </w:pPr>
      <w:bookmarkStart w:id="0" w:name="_GoBack"/>
      <w:bookmarkEnd w:id="0"/>
      <w:r w:rsidRPr="00A36537">
        <w:rPr>
          <w:rFonts w:ascii="EHUSans" w:eastAsia="Times New Roman" w:hAnsi="EHUSans"/>
          <w:b/>
          <w:bCs/>
          <w:kern w:val="36"/>
          <w:sz w:val="48"/>
          <w:szCs w:val="48"/>
          <w:lang w:eastAsia="es-ES"/>
        </w:rPr>
        <w:t>Respuestas al Coronavirus</w:t>
      </w:r>
    </w:p>
    <w:p w:rsidR="00A36537" w:rsidRPr="00A36537" w:rsidRDefault="00A36537" w:rsidP="00A36537">
      <w:pPr>
        <w:spacing w:before="100" w:beforeAutospacing="1" w:after="100" w:afterAutospacing="1"/>
        <w:outlineLvl w:val="0"/>
        <w:rPr>
          <w:rFonts w:ascii="EHUSans" w:eastAsia="Times New Roman" w:hAnsi="EHUSans"/>
          <w:b/>
          <w:bCs/>
          <w:kern w:val="36"/>
          <w:sz w:val="48"/>
          <w:szCs w:val="48"/>
          <w:lang w:eastAsia="es-ES"/>
        </w:rPr>
      </w:pPr>
      <w:proofErr w:type="spellStart"/>
      <w:r w:rsidRPr="00A36537">
        <w:rPr>
          <w:rFonts w:ascii="EHUSans" w:eastAsia="Times New Roman" w:hAnsi="EHUSans"/>
          <w:b/>
          <w:bCs/>
          <w:kern w:val="36"/>
          <w:sz w:val="48"/>
          <w:szCs w:val="48"/>
          <w:lang w:eastAsia="es-ES"/>
        </w:rPr>
        <w:t>Timeline</w:t>
      </w:r>
      <w:proofErr w:type="spellEnd"/>
      <w:r w:rsidRPr="00A36537">
        <w:rPr>
          <w:rFonts w:ascii="EHUSans" w:eastAsia="Times New Roman" w:hAnsi="EHUSans"/>
          <w:b/>
          <w:bCs/>
          <w:kern w:val="36"/>
          <w:sz w:val="48"/>
          <w:szCs w:val="48"/>
          <w:lang w:eastAsia="es-ES"/>
        </w:rPr>
        <w:t xml:space="preserve"> of EU </w:t>
      </w:r>
      <w:proofErr w:type="spellStart"/>
      <w:r w:rsidRPr="00A36537">
        <w:rPr>
          <w:rFonts w:ascii="EHUSans" w:eastAsia="Times New Roman" w:hAnsi="EHUSans"/>
          <w:b/>
          <w:bCs/>
          <w:kern w:val="36"/>
          <w:sz w:val="48"/>
          <w:szCs w:val="48"/>
          <w:lang w:eastAsia="es-ES"/>
        </w:rPr>
        <w:t>action</w:t>
      </w:r>
      <w:proofErr w:type="spellEnd"/>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995"/>
        <w:gridCol w:w="6509"/>
      </w:tblGrid>
      <w:tr w:rsidR="00A36537" w:rsidRPr="00A36537" w:rsidTr="00A36537">
        <w:trPr>
          <w:tblCellSpacing w:w="15" w:type="dxa"/>
        </w:trPr>
        <w:tc>
          <w:tcPr>
            <w:tcW w:w="1950" w:type="dxa"/>
            <w:vAlign w:val="center"/>
            <w:hideMark/>
          </w:tcPr>
          <w:p w:rsidR="00A36537" w:rsidRPr="00A36537" w:rsidRDefault="00A36537" w:rsidP="00A36537">
            <w:pPr>
              <w:rPr>
                <w:rFonts w:ascii="EHUSans" w:eastAsia="Times New Roman" w:hAnsi="EHUSans"/>
                <w:sz w:val="24"/>
                <w:szCs w:val="24"/>
                <w:lang w:eastAsia="es-ES"/>
              </w:rPr>
            </w:pPr>
            <w:r w:rsidRPr="00A36537">
              <w:rPr>
                <w:rFonts w:ascii="EHUSans" w:eastAsia="Times New Roman" w:hAnsi="EHUSans"/>
                <w:noProof/>
                <w:sz w:val="24"/>
                <w:szCs w:val="24"/>
                <w:lang w:eastAsia="es-ES"/>
              </w:rPr>
              <w:drawing>
                <wp:inline distT="0" distB="0" distL="0" distR="0">
                  <wp:extent cx="1206500" cy="1206500"/>
                  <wp:effectExtent l="0" t="0" r="0" b="0"/>
                  <wp:docPr id="1" name="Imagen 1" descr="ursula von der ley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sula von der leye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inline>
              </w:drawing>
            </w:r>
          </w:p>
        </w:tc>
        <w:tc>
          <w:tcPr>
            <w:tcW w:w="0" w:type="auto"/>
            <w:vAlign w:val="center"/>
            <w:hideMark/>
          </w:tcPr>
          <w:p w:rsidR="00A36537" w:rsidRPr="00A36537" w:rsidRDefault="00A36537" w:rsidP="00A36537">
            <w:pPr>
              <w:rPr>
                <w:rFonts w:ascii="EHUSans" w:eastAsia="Times New Roman" w:hAnsi="EHUSans"/>
                <w:sz w:val="24"/>
                <w:szCs w:val="24"/>
                <w:lang w:eastAsia="es-ES"/>
              </w:rPr>
            </w:pPr>
            <w:r w:rsidRPr="00A36537">
              <w:rPr>
                <w:rFonts w:ascii="EHUSans" w:eastAsia="Times New Roman" w:hAnsi="EHUSans"/>
                <w:i/>
                <w:iCs/>
                <w:sz w:val="24"/>
                <w:szCs w:val="24"/>
                <w:lang w:eastAsia="es-ES"/>
              </w:rPr>
              <w:t>Debemos velar los unos por los otros y hemos de apoyarnos mutuamente en este trance. Porque si hay algo más contagioso que este virus es el amor y la compasión. Y frente a la adversidad, el pueblo europeo está mostrando cuán fuertes pueden ser.</w:t>
            </w:r>
            <w:r w:rsidRPr="00A36537">
              <w:rPr>
                <w:rFonts w:ascii="EHUSans" w:eastAsia="Times New Roman" w:hAnsi="EHUSans"/>
                <w:sz w:val="24"/>
                <w:szCs w:val="24"/>
                <w:lang w:eastAsia="es-ES"/>
              </w:rPr>
              <w:br/>
            </w:r>
            <w:r w:rsidRPr="00A36537">
              <w:rPr>
                <w:rFonts w:ascii="EHUSans" w:eastAsia="Times New Roman" w:hAnsi="EHUSans"/>
                <w:sz w:val="24"/>
                <w:szCs w:val="24"/>
                <w:lang w:eastAsia="es-ES"/>
              </w:rPr>
              <w:br/>
            </w:r>
            <w:proofErr w:type="spellStart"/>
            <w:r w:rsidRPr="00A36537">
              <w:rPr>
                <w:rFonts w:ascii="EHUSans" w:eastAsia="Times New Roman" w:hAnsi="EHUSans"/>
                <w:b/>
                <w:bCs/>
                <w:sz w:val="24"/>
                <w:szCs w:val="24"/>
                <w:lang w:eastAsia="es-ES"/>
              </w:rPr>
              <w:t>Ursula</w:t>
            </w:r>
            <w:proofErr w:type="spellEnd"/>
            <w:r w:rsidRPr="00A36537">
              <w:rPr>
                <w:rFonts w:ascii="EHUSans" w:eastAsia="Times New Roman" w:hAnsi="EHUSans"/>
                <w:b/>
                <w:bCs/>
                <w:sz w:val="24"/>
                <w:szCs w:val="24"/>
                <w:lang w:eastAsia="es-ES"/>
              </w:rPr>
              <w:t xml:space="preserve"> von der </w:t>
            </w:r>
            <w:proofErr w:type="spellStart"/>
            <w:r w:rsidRPr="00A36537">
              <w:rPr>
                <w:rFonts w:ascii="EHUSans" w:eastAsia="Times New Roman" w:hAnsi="EHUSans"/>
                <w:b/>
                <w:bCs/>
                <w:sz w:val="24"/>
                <w:szCs w:val="24"/>
                <w:lang w:eastAsia="es-ES"/>
              </w:rPr>
              <w:t>Leyen</w:t>
            </w:r>
            <w:proofErr w:type="spellEnd"/>
            <w:r w:rsidRPr="00A36537">
              <w:rPr>
                <w:rFonts w:ascii="EHUSans" w:eastAsia="Times New Roman" w:hAnsi="EHUSans"/>
                <w:b/>
                <w:bCs/>
                <w:sz w:val="24"/>
                <w:szCs w:val="24"/>
                <w:lang w:eastAsia="es-ES"/>
              </w:rPr>
              <w:t>, presidenta de la Comisión Europea, en la sesión plenaria del Parlamento Europeo (26 de marzo de 2020)</w:t>
            </w:r>
          </w:p>
        </w:tc>
      </w:tr>
    </w:tbl>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p>
    <w:p w:rsidR="00A36537" w:rsidRPr="00A36537" w:rsidRDefault="00A36537" w:rsidP="00A36537">
      <w:pPr>
        <w:spacing w:before="100" w:beforeAutospacing="1" w:after="100" w:afterAutospacing="1"/>
        <w:outlineLvl w:val="1"/>
        <w:rPr>
          <w:rFonts w:ascii="EHUSans" w:eastAsia="Times New Roman" w:hAnsi="EHUSans"/>
          <w:b/>
          <w:bCs/>
          <w:sz w:val="36"/>
          <w:szCs w:val="36"/>
          <w:lang w:val="en" w:eastAsia="es-ES"/>
        </w:rPr>
      </w:pPr>
      <w:r w:rsidRPr="00A36537">
        <w:rPr>
          <w:rFonts w:ascii="EHUSans" w:eastAsia="Times New Roman" w:hAnsi="EHUSans"/>
          <w:b/>
          <w:bCs/>
          <w:sz w:val="36"/>
          <w:szCs w:val="36"/>
          <w:lang w:val="en" w:eastAsia="es-ES"/>
        </w:rPr>
        <w:t>October 2022</w:t>
      </w:r>
    </w:p>
    <w:p w:rsidR="00A36537" w:rsidRPr="00A36537" w:rsidRDefault="00A36537" w:rsidP="00A36537">
      <w:pPr>
        <w:numPr>
          <w:ilvl w:val="0"/>
          <w:numId w:val="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11 </w:t>
      </w:r>
      <w:proofErr w:type="spellStart"/>
      <w:r w:rsidRPr="00A36537">
        <w:rPr>
          <w:rFonts w:ascii="EHUSans" w:eastAsia="Times New Roman" w:hAnsi="EHUSans"/>
          <w:sz w:val="24"/>
          <w:szCs w:val="24"/>
          <w:lang w:eastAsia="es-ES"/>
        </w:rPr>
        <w:t>October</w:t>
      </w:r>
      <w:proofErr w:type="spellEnd"/>
      <w:r w:rsidRPr="00A36537">
        <w:rPr>
          <w:rFonts w:ascii="EHUSans" w:eastAsia="Times New Roman" w:hAnsi="EHUSans"/>
          <w:sz w:val="24"/>
          <w:szCs w:val="24"/>
          <w:lang w:eastAsia="es-ES"/>
        </w:rPr>
        <w:t xml:space="preserve"> </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 xml:space="preserve">Commission raises a further €11 billion </w:t>
      </w:r>
      <w:proofErr w:type="gramStart"/>
      <w:r w:rsidRPr="00A36537">
        <w:rPr>
          <w:rFonts w:ascii="EHUSans" w:eastAsia="Times New Roman" w:hAnsi="EHUSans"/>
          <w:b/>
          <w:bCs/>
          <w:sz w:val="24"/>
          <w:szCs w:val="24"/>
          <w:lang w:val="en-US" w:eastAsia="es-ES"/>
        </w:rPr>
        <w:t xml:space="preserve">for </w:t>
      </w:r>
      <w:proofErr w:type="spellStart"/>
      <w:r w:rsidRPr="00A36537">
        <w:rPr>
          <w:rFonts w:ascii="EHUSans" w:eastAsia="Times New Roman" w:hAnsi="EHUSans"/>
          <w:b/>
          <w:bCs/>
          <w:sz w:val="24"/>
          <w:szCs w:val="24"/>
          <w:lang w:val="en-US" w:eastAsia="es-ES"/>
        </w:rPr>
        <w:t>NextGenerationEU</w:t>
      </w:r>
      <w:proofErr w:type="spellEnd"/>
      <w:r w:rsidRPr="00A36537">
        <w:rPr>
          <w:rFonts w:ascii="EHUSans" w:eastAsia="Times New Roman" w:hAnsi="EHUSans"/>
          <w:b/>
          <w:bCs/>
          <w:sz w:val="24"/>
          <w:szCs w:val="24"/>
          <w:lang w:val="en-US" w:eastAsia="es-ES"/>
        </w:rPr>
        <w:t xml:space="preserve"> and to support Ukraine</w:t>
      </w:r>
      <w:proofErr w:type="gramEnd"/>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issued €11 billion in a dual tranche transaction, the proceeds of which </w:t>
      </w:r>
      <w:proofErr w:type="gramStart"/>
      <w:r w:rsidRPr="00A36537">
        <w:rPr>
          <w:rFonts w:ascii="EHUSans" w:eastAsia="Times New Roman" w:hAnsi="EHUSans"/>
          <w:sz w:val="24"/>
          <w:szCs w:val="24"/>
          <w:lang w:val="en-US" w:eastAsia="es-ES"/>
        </w:rPr>
        <w:t>will be used</w:t>
      </w:r>
      <w:proofErr w:type="gramEnd"/>
      <w:r w:rsidRPr="00A36537">
        <w:rPr>
          <w:rFonts w:ascii="EHUSans" w:eastAsia="Times New Roman" w:hAnsi="EHUSans"/>
          <w:sz w:val="24"/>
          <w:szCs w:val="24"/>
          <w:lang w:val="en-US" w:eastAsia="es-ES"/>
        </w:rPr>
        <w:t xml:space="preserve"> to support Ukraine under the EU's MFA </w:t>
      </w:r>
      <w:proofErr w:type="spellStart"/>
      <w:r w:rsidRPr="00A36537">
        <w:rPr>
          <w:rFonts w:ascii="EHUSans" w:eastAsia="Times New Roman" w:hAnsi="EHUSans"/>
          <w:sz w:val="24"/>
          <w:szCs w:val="24"/>
          <w:lang w:val="en-US" w:eastAsia="es-ES"/>
        </w:rPr>
        <w:t>programme</w:t>
      </w:r>
      <w:proofErr w:type="spellEnd"/>
      <w:r w:rsidRPr="00A36537">
        <w:rPr>
          <w:rFonts w:ascii="EHUSans" w:eastAsia="Times New Roman" w:hAnsi="EHUSans"/>
          <w:sz w:val="24"/>
          <w:szCs w:val="24"/>
          <w:lang w:val="en-US" w:eastAsia="es-ES"/>
        </w:rPr>
        <w:t xml:space="preserve"> and Europe's recovery under the flagship </w:t>
      </w:r>
      <w:proofErr w:type="spellStart"/>
      <w:r w:rsidRPr="00A36537">
        <w:rPr>
          <w:rFonts w:ascii="EHUSans" w:eastAsia="Times New Roman" w:hAnsi="EHUSans"/>
          <w:sz w:val="24"/>
          <w:szCs w:val="24"/>
          <w:lang w:val="en-US" w:eastAsia="es-ES"/>
        </w:rPr>
        <w:t>NextGenerationEU</w:t>
      </w:r>
      <w:proofErr w:type="spellEnd"/>
      <w:r w:rsidRPr="00A36537">
        <w:rPr>
          <w:rFonts w:ascii="EHUSans" w:eastAsia="Times New Roman" w:hAnsi="EHUSans"/>
          <w:sz w:val="24"/>
          <w:szCs w:val="24"/>
          <w:lang w:val="en-US" w:eastAsia="es-ES"/>
        </w:rPr>
        <w:t xml:space="preserve"> </w:t>
      </w:r>
      <w:proofErr w:type="spellStart"/>
      <w:r w:rsidRPr="00A36537">
        <w:rPr>
          <w:rFonts w:ascii="EHUSans" w:eastAsia="Times New Roman" w:hAnsi="EHUSans"/>
          <w:sz w:val="24"/>
          <w:szCs w:val="24"/>
          <w:lang w:val="en-US" w:eastAsia="es-ES"/>
        </w:rPr>
        <w:t>programme</w:t>
      </w:r>
      <w:proofErr w:type="spellEnd"/>
      <w:r w:rsidRPr="00A36537">
        <w:rPr>
          <w:rFonts w:ascii="EHUSans" w:eastAsia="Times New Roman" w:hAnsi="EHUSans"/>
          <w:sz w:val="24"/>
          <w:szCs w:val="24"/>
          <w:lang w:val="en-US" w:eastAsia="es-ES"/>
        </w:rPr>
        <w:t>. The deal consisted of a €5 billion tap of the 7-year bond due on 4 December 2029 and a new 20-year bond of €6 billion due on 4 November 2042.</w:t>
      </w:r>
    </w:p>
    <w:p w:rsidR="00A36537" w:rsidRPr="00A36537" w:rsidRDefault="00A36537" w:rsidP="00A36537">
      <w:pPr>
        <w:spacing w:before="100" w:beforeAutospacing="1" w:after="100" w:afterAutospacing="1"/>
        <w:outlineLvl w:val="1"/>
        <w:rPr>
          <w:rFonts w:ascii="EHUSans" w:eastAsia="Times New Roman" w:hAnsi="EHUSans"/>
          <w:b/>
          <w:bCs/>
          <w:sz w:val="36"/>
          <w:szCs w:val="36"/>
          <w:lang w:val="en" w:eastAsia="es-ES"/>
        </w:rPr>
      </w:pPr>
      <w:r w:rsidRPr="00A36537">
        <w:rPr>
          <w:rFonts w:ascii="EHUSans" w:eastAsia="Times New Roman" w:hAnsi="EHUSans"/>
          <w:b/>
          <w:bCs/>
          <w:sz w:val="36"/>
          <w:szCs w:val="36"/>
          <w:lang w:val="en" w:eastAsia="es-ES"/>
        </w:rPr>
        <w:t>September 2022</w:t>
      </w:r>
    </w:p>
    <w:p w:rsidR="00A36537" w:rsidRPr="00A36537" w:rsidRDefault="00A36537" w:rsidP="00A36537">
      <w:pPr>
        <w:numPr>
          <w:ilvl w:val="0"/>
          <w:numId w:val="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26 </w:t>
      </w:r>
      <w:proofErr w:type="spellStart"/>
      <w:r w:rsidRPr="00A36537">
        <w:rPr>
          <w:rFonts w:ascii="EHUSans" w:eastAsia="Times New Roman" w:hAnsi="EHUSans"/>
          <w:sz w:val="24"/>
          <w:szCs w:val="24"/>
          <w:lang w:eastAsia="es-ES"/>
        </w:rPr>
        <w:t>September</w:t>
      </w:r>
      <w:proofErr w:type="spellEnd"/>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Fourth report confirms SURE success in protecting jobs during pandemic</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published its </w:t>
      </w:r>
      <w:hyperlink r:id="rId6" w:history="1">
        <w:r w:rsidRPr="00A36537">
          <w:rPr>
            <w:rFonts w:ascii="EHUSans" w:eastAsia="Times New Roman" w:hAnsi="EHUSans"/>
            <w:color w:val="0000FF"/>
            <w:sz w:val="24"/>
            <w:szCs w:val="24"/>
            <w:u w:val="single"/>
            <w:lang w:val="en-US" w:eastAsia="es-ES"/>
          </w:rPr>
          <w:t>fourth bi-annual report on the implementation and impact of SURE</w:t>
        </w:r>
      </w:hyperlink>
      <w:r w:rsidRPr="00A36537">
        <w:rPr>
          <w:rFonts w:ascii="EHUSans" w:eastAsia="Times New Roman" w:hAnsi="EHUSans"/>
          <w:sz w:val="24"/>
          <w:szCs w:val="24"/>
          <w:lang w:val="en-US" w:eastAsia="es-ES"/>
        </w:rPr>
        <w:t xml:space="preserve">. The report found that national </w:t>
      </w:r>
      <w:proofErr w:type="spellStart"/>
      <w:r w:rsidRPr="00A36537">
        <w:rPr>
          <w:rFonts w:ascii="EHUSans" w:eastAsia="Times New Roman" w:hAnsi="EHUSans"/>
          <w:sz w:val="24"/>
          <w:szCs w:val="24"/>
          <w:lang w:val="en-US" w:eastAsia="es-ES"/>
        </w:rPr>
        <w:t>labour</w:t>
      </w:r>
      <w:proofErr w:type="spellEnd"/>
      <w:r w:rsidRPr="00A36537">
        <w:rPr>
          <w:rFonts w:ascii="EHUSans" w:eastAsia="Times New Roman" w:hAnsi="EHUSans"/>
          <w:sz w:val="24"/>
          <w:szCs w:val="24"/>
          <w:lang w:val="en-US" w:eastAsia="es-ES"/>
        </w:rPr>
        <w:t xml:space="preserve"> market measures supported by SURE effectively protected around 1.5 million people from unemployment in 2020. The protection </w:t>
      </w:r>
      <w:r w:rsidRPr="00A36537">
        <w:rPr>
          <w:rFonts w:ascii="EHUSans" w:eastAsia="Times New Roman" w:hAnsi="EHUSans"/>
          <w:sz w:val="24"/>
          <w:szCs w:val="24"/>
          <w:lang w:val="en-US" w:eastAsia="es-ES"/>
        </w:rPr>
        <w:lastRenderedPageBreak/>
        <w:t>of employment was crucial to facilitate the rapid economic rebound in 2021, which was faster than in previous crises. SURE helped to enable this by financing schemes to allow firms to retain employees and skills, and to help the self-employed to be ready to resume their activities immediately, as well as by boosting confidence across the EU.</w:t>
      </w:r>
    </w:p>
    <w:p w:rsidR="00A36537" w:rsidRPr="00A36537" w:rsidRDefault="00A36537" w:rsidP="00A36537">
      <w:pPr>
        <w:numPr>
          <w:ilvl w:val="0"/>
          <w:numId w:val="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13 </w:t>
      </w:r>
      <w:proofErr w:type="spellStart"/>
      <w:r w:rsidRPr="00A36537">
        <w:rPr>
          <w:rFonts w:ascii="EHUSans" w:eastAsia="Times New Roman" w:hAnsi="EHUSans"/>
          <w:sz w:val="24"/>
          <w:szCs w:val="24"/>
          <w:lang w:eastAsia="es-ES"/>
        </w:rPr>
        <w:t>September</w:t>
      </w:r>
      <w:proofErr w:type="spellEnd"/>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Commission raises a further €12 billion for Europe's recovery</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issued €12 billion in a dual tranche transaction under its flagship </w:t>
      </w:r>
      <w:proofErr w:type="spellStart"/>
      <w:r w:rsidRPr="00A36537">
        <w:rPr>
          <w:rFonts w:ascii="EHUSans" w:eastAsia="Times New Roman" w:hAnsi="EHUSans"/>
          <w:sz w:val="24"/>
          <w:szCs w:val="24"/>
          <w:lang w:val="en-US" w:eastAsia="es-ES"/>
        </w:rPr>
        <w:t>NextGenerationEU</w:t>
      </w:r>
      <w:proofErr w:type="spellEnd"/>
      <w:r w:rsidRPr="00A36537">
        <w:rPr>
          <w:rFonts w:ascii="EHUSans" w:eastAsia="Times New Roman" w:hAnsi="EHUSans"/>
          <w:sz w:val="24"/>
          <w:szCs w:val="24"/>
          <w:lang w:val="en-US" w:eastAsia="es-ES"/>
        </w:rPr>
        <w:t xml:space="preserve"> </w:t>
      </w:r>
      <w:proofErr w:type="spellStart"/>
      <w:r w:rsidRPr="00A36537">
        <w:rPr>
          <w:rFonts w:ascii="EHUSans" w:eastAsia="Times New Roman" w:hAnsi="EHUSans"/>
          <w:sz w:val="24"/>
          <w:szCs w:val="24"/>
          <w:lang w:val="en-US" w:eastAsia="es-ES"/>
        </w:rPr>
        <w:t>programme</w:t>
      </w:r>
      <w:proofErr w:type="spellEnd"/>
      <w:r w:rsidRPr="00A36537">
        <w:rPr>
          <w:rFonts w:ascii="EHUSans" w:eastAsia="Times New Roman" w:hAnsi="EHUSans"/>
          <w:sz w:val="24"/>
          <w:szCs w:val="24"/>
          <w:lang w:val="en-US" w:eastAsia="es-ES"/>
        </w:rPr>
        <w:t xml:space="preserve">. The deal was the 12th syndicated transaction under </w:t>
      </w:r>
      <w:proofErr w:type="spellStart"/>
      <w:r w:rsidRPr="00A36537">
        <w:rPr>
          <w:rFonts w:ascii="EHUSans" w:eastAsia="Times New Roman" w:hAnsi="EHUSans"/>
          <w:sz w:val="24"/>
          <w:szCs w:val="24"/>
          <w:lang w:val="en-US" w:eastAsia="es-ES"/>
        </w:rPr>
        <w:t>NextGenerationEU</w:t>
      </w:r>
      <w:proofErr w:type="spellEnd"/>
      <w:r w:rsidRPr="00A36537">
        <w:rPr>
          <w:rFonts w:ascii="EHUSans" w:eastAsia="Times New Roman" w:hAnsi="EHUSans"/>
          <w:sz w:val="24"/>
          <w:szCs w:val="24"/>
          <w:lang w:val="en-US" w:eastAsia="es-ES"/>
        </w:rPr>
        <w:t xml:space="preserve"> and the </w:t>
      </w:r>
      <w:proofErr w:type="gramStart"/>
      <w:r w:rsidRPr="00A36537">
        <w:rPr>
          <w:rFonts w:ascii="EHUSans" w:eastAsia="Times New Roman" w:hAnsi="EHUSans"/>
          <w:sz w:val="24"/>
          <w:szCs w:val="24"/>
          <w:lang w:val="en-US" w:eastAsia="es-ES"/>
        </w:rPr>
        <w:t>7th</w:t>
      </w:r>
      <w:proofErr w:type="gramEnd"/>
      <w:r w:rsidRPr="00A36537">
        <w:rPr>
          <w:rFonts w:ascii="EHUSans" w:eastAsia="Times New Roman" w:hAnsi="EHUSans"/>
          <w:sz w:val="24"/>
          <w:szCs w:val="24"/>
          <w:lang w:val="en-US" w:eastAsia="es-ES"/>
        </w:rPr>
        <w:t> in 2022. It consisted of a new 5-year bond of €7 billion due on 4 October 2027 and a new 30-year bond of €5 billion due on 4 October 2052.</w:t>
      </w:r>
    </w:p>
    <w:p w:rsidR="00A36537" w:rsidRPr="00A36537" w:rsidRDefault="00A36537" w:rsidP="00A36537">
      <w:pPr>
        <w:numPr>
          <w:ilvl w:val="0"/>
          <w:numId w:val="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8 </w:t>
      </w:r>
      <w:proofErr w:type="spellStart"/>
      <w:r w:rsidRPr="00A36537">
        <w:rPr>
          <w:rFonts w:ascii="EHUSans" w:eastAsia="Times New Roman" w:hAnsi="EHUSans"/>
          <w:sz w:val="24"/>
          <w:szCs w:val="24"/>
          <w:lang w:eastAsia="es-ES"/>
        </w:rPr>
        <w:t>September</w:t>
      </w:r>
      <w:proofErr w:type="spellEnd"/>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Commission endorses the Netherlands' €4.7 billion recovery and resilience plan</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gave a </w:t>
      </w:r>
      <w:hyperlink r:id="rId7" w:history="1">
        <w:r w:rsidRPr="00A36537">
          <w:rPr>
            <w:rFonts w:ascii="EHUSans" w:eastAsia="Times New Roman" w:hAnsi="EHUSans"/>
            <w:color w:val="0000FF"/>
            <w:sz w:val="24"/>
            <w:szCs w:val="24"/>
            <w:u w:val="single"/>
            <w:lang w:val="en-US" w:eastAsia="es-ES"/>
          </w:rPr>
          <w:t>positive assessment</w:t>
        </w:r>
      </w:hyperlink>
      <w:r w:rsidRPr="00A36537">
        <w:rPr>
          <w:rFonts w:ascii="EHUSans" w:eastAsia="Times New Roman" w:hAnsi="EHUSans"/>
          <w:sz w:val="24"/>
          <w:szCs w:val="24"/>
          <w:lang w:val="en-US" w:eastAsia="es-ES"/>
        </w:rPr>
        <w:t xml:space="preserve"> of the Netherlands' recovery and resilience plan. This is a key step paving the way for the EU to disburse €4.7 billion in grants to the Netherlands under the Recovery and Resilience Facility. This financing will support the implementation of the crucial investment and reform measures outlined in the Netherlands' recovery and resilience plan. It will play a crucial role in enabling the Netherlands to emerge stronger from the COVID-19 pandemic.</w:t>
      </w:r>
    </w:p>
    <w:p w:rsidR="00A36537" w:rsidRPr="00A36537" w:rsidRDefault="00A36537" w:rsidP="00A36537">
      <w:pPr>
        <w:numPr>
          <w:ilvl w:val="0"/>
          <w:numId w:val="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1 </w:t>
      </w:r>
      <w:proofErr w:type="spellStart"/>
      <w:r w:rsidRPr="00A36537">
        <w:rPr>
          <w:rFonts w:ascii="EHUSans" w:eastAsia="Times New Roman" w:hAnsi="EHUSans"/>
          <w:sz w:val="24"/>
          <w:szCs w:val="24"/>
          <w:lang w:eastAsia="es-ES"/>
        </w:rPr>
        <w:t>September</w:t>
      </w:r>
      <w:proofErr w:type="spellEnd"/>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proofErr w:type="spellStart"/>
      <w:r w:rsidRPr="00A36537">
        <w:rPr>
          <w:rFonts w:ascii="EHUSans" w:eastAsia="Times New Roman" w:hAnsi="EHUSans"/>
          <w:b/>
          <w:bCs/>
          <w:sz w:val="24"/>
          <w:szCs w:val="24"/>
          <w:lang w:eastAsia="es-ES"/>
        </w:rPr>
        <w:t>Commission</w:t>
      </w:r>
      <w:proofErr w:type="spellEnd"/>
      <w:r w:rsidRPr="00A36537">
        <w:rPr>
          <w:rFonts w:ascii="EHUSans" w:eastAsia="Times New Roman" w:hAnsi="EHUSans"/>
          <w:b/>
          <w:bCs/>
          <w:sz w:val="24"/>
          <w:szCs w:val="24"/>
          <w:lang w:eastAsia="es-ES"/>
        </w:rPr>
        <w:t xml:space="preserve"> </w:t>
      </w:r>
      <w:proofErr w:type="spellStart"/>
      <w:r w:rsidRPr="00A36537">
        <w:rPr>
          <w:rFonts w:ascii="EHUSans" w:eastAsia="Times New Roman" w:hAnsi="EHUSans"/>
          <w:b/>
          <w:bCs/>
          <w:sz w:val="24"/>
          <w:szCs w:val="24"/>
          <w:lang w:eastAsia="es-ES"/>
        </w:rPr>
        <w:t>authorises</w:t>
      </w:r>
      <w:proofErr w:type="spellEnd"/>
      <w:r w:rsidRPr="00A36537">
        <w:rPr>
          <w:rFonts w:ascii="EHUSans" w:eastAsia="Times New Roman" w:hAnsi="EHUSans"/>
          <w:b/>
          <w:bCs/>
          <w:sz w:val="24"/>
          <w:szCs w:val="24"/>
          <w:lang w:eastAsia="es-ES"/>
        </w:rPr>
        <w:t xml:space="preserve"> </w:t>
      </w:r>
      <w:proofErr w:type="spellStart"/>
      <w:r w:rsidRPr="00A36537">
        <w:rPr>
          <w:rFonts w:ascii="EHUSans" w:eastAsia="Times New Roman" w:hAnsi="EHUSans"/>
          <w:b/>
          <w:bCs/>
          <w:sz w:val="24"/>
          <w:szCs w:val="24"/>
          <w:lang w:eastAsia="es-ES"/>
        </w:rPr>
        <w:t>two</w:t>
      </w:r>
      <w:proofErr w:type="spellEnd"/>
      <w:r w:rsidRPr="00A36537">
        <w:rPr>
          <w:rFonts w:ascii="EHUSans" w:eastAsia="Times New Roman" w:hAnsi="EHUSans"/>
          <w:b/>
          <w:bCs/>
          <w:sz w:val="24"/>
          <w:szCs w:val="24"/>
          <w:lang w:eastAsia="es-ES"/>
        </w:rPr>
        <w:t xml:space="preserve"> </w:t>
      </w:r>
      <w:proofErr w:type="spellStart"/>
      <w:r w:rsidRPr="00A36537">
        <w:rPr>
          <w:rFonts w:ascii="EHUSans" w:eastAsia="Times New Roman" w:hAnsi="EHUSans"/>
          <w:b/>
          <w:bCs/>
          <w:sz w:val="24"/>
          <w:szCs w:val="24"/>
          <w:lang w:eastAsia="es-ES"/>
        </w:rPr>
        <w:t>adapted</w:t>
      </w:r>
      <w:proofErr w:type="spellEnd"/>
      <w:r w:rsidRPr="00A36537">
        <w:rPr>
          <w:rFonts w:ascii="EHUSans" w:eastAsia="Times New Roman" w:hAnsi="EHUSans"/>
          <w:b/>
          <w:bCs/>
          <w:sz w:val="24"/>
          <w:szCs w:val="24"/>
          <w:lang w:eastAsia="es-ES"/>
        </w:rPr>
        <w:t xml:space="preserve"> </w:t>
      </w:r>
      <w:proofErr w:type="spellStart"/>
      <w:r w:rsidRPr="00A36537">
        <w:rPr>
          <w:rFonts w:ascii="EHUSans" w:eastAsia="Times New Roman" w:hAnsi="EHUSans"/>
          <w:b/>
          <w:bCs/>
          <w:sz w:val="24"/>
          <w:szCs w:val="24"/>
          <w:lang w:eastAsia="es-ES"/>
        </w:rPr>
        <w:t>vaccines</w:t>
      </w:r>
      <w:proofErr w:type="spellEnd"/>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Based on the recommendation of the European Medicines Agency, the Commission </w:t>
      </w:r>
      <w:proofErr w:type="spellStart"/>
      <w:r w:rsidRPr="00A36537">
        <w:rPr>
          <w:rFonts w:ascii="EHUSans" w:eastAsia="Times New Roman" w:hAnsi="EHUSans"/>
          <w:sz w:val="24"/>
          <w:szCs w:val="24"/>
          <w:lang w:val="en-US" w:eastAsia="es-ES"/>
        </w:rPr>
        <w:t>authorised</w:t>
      </w:r>
      <w:proofErr w:type="spellEnd"/>
      <w:r w:rsidRPr="00A36537">
        <w:rPr>
          <w:rFonts w:ascii="EHUSans" w:eastAsia="Times New Roman" w:hAnsi="EHUSans"/>
          <w:sz w:val="24"/>
          <w:szCs w:val="24"/>
          <w:lang w:val="en-US" w:eastAsia="es-ES"/>
        </w:rPr>
        <w:t xml:space="preserve"> the first two COVID-19 booster vaccines adapted to variants, from </w:t>
      </w:r>
      <w:proofErr w:type="spellStart"/>
      <w:r w:rsidRPr="00A36537">
        <w:rPr>
          <w:rFonts w:ascii="EHUSans" w:eastAsia="Times New Roman" w:hAnsi="EHUSans"/>
          <w:sz w:val="24"/>
          <w:szCs w:val="24"/>
          <w:lang w:val="en-US" w:eastAsia="es-ES"/>
        </w:rPr>
        <w:t>BioNTech</w:t>
      </w:r>
      <w:proofErr w:type="spellEnd"/>
      <w:r w:rsidRPr="00A36537">
        <w:rPr>
          <w:rFonts w:ascii="EHUSans" w:eastAsia="Times New Roman" w:hAnsi="EHUSans"/>
          <w:sz w:val="24"/>
          <w:szCs w:val="24"/>
          <w:lang w:val="en-US" w:eastAsia="es-ES"/>
        </w:rPr>
        <w:t xml:space="preserve"> Pfizer and </w:t>
      </w:r>
      <w:proofErr w:type="spellStart"/>
      <w:r w:rsidRPr="00A36537">
        <w:rPr>
          <w:rFonts w:ascii="EHUSans" w:eastAsia="Times New Roman" w:hAnsi="EHUSans"/>
          <w:sz w:val="24"/>
          <w:szCs w:val="24"/>
          <w:lang w:val="en-US" w:eastAsia="es-ES"/>
        </w:rPr>
        <w:t>Moderna</w:t>
      </w:r>
      <w:proofErr w:type="spellEnd"/>
      <w:r w:rsidRPr="00A36537">
        <w:rPr>
          <w:rFonts w:ascii="EHUSans" w:eastAsia="Times New Roman" w:hAnsi="EHUSans"/>
          <w:sz w:val="24"/>
          <w:szCs w:val="24"/>
          <w:lang w:val="en-US" w:eastAsia="es-ES"/>
        </w:rPr>
        <w:t>.</w:t>
      </w:r>
    </w:p>
    <w:p w:rsidR="00A36537" w:rsidRPr="00A36537" w:rsidRDefault="00A36537" w:rsidP="00A36537">
      <w:pPr>
        <w:spacing w:before="100" w:beforeAutospacing="1" w:after="100" w:afterAutospacing="1"/>
        <w:outlineLvl w:val="1"/>
        <w:rPr>
          <w:rFonts w:ascii="EHUSans" w:eastAsia="Times New Roman" w:hAnsi="EHUSans"/>
          <w:b/>
          <w:bCs/>
          <w:sz w:val="36"/>
          <w:szCs w:val="36"/>
          <w:lang w:val="en" w:eastAsia="es-ES"/>
        </w:rPr>
      </w:pPr>
      <w:r w:rsidRPr="00A36537">
        <w:rPr>
          <w:rFonts w:ascii="EHUSans" w:eastAsia="Times New Roman" w:hAnsi="EHUSans"/>
          <w:b/>
          <w:bCs/>
          <w:sz w:val="36"/>
          <w:szCs w:val="36"/>
          <w:lang w:val="en" w:eastAsia="es-ES"/>
        </w:rPr>
        <w:t>August 2022</w:t>
      </w:r>
    </w:p>
    <w:p w:rsidR="00A36537" w:rsidRPr="00A36537" w:rsidRDefault="00A36537" w:rsidP="00A36537">
      <w:pPr>
        <w:numPr>
          <w:ilvl w:val="0"/>
          <w:numId w:val="3"/>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2 </w:t>
      </w:r>
      <w:proofErr w:type="spellStart"/>
      <w:r w:rsidRPr="00A36537">
        <w:rPr>
          <w:rFonts w:ascii="EHUSans" w:eastAsia="Times New Roman" w:hAnsi="EHUSans"/>
          <w:sz w:val="24"/>
          <w:szCs w:val="24"/>
          <w:lang w:eastAsia="es-ES"/>
        </w:rPr>
        <w:t>August</w:t>
      </w:r>
      <w:proofErr w:type="spellEnd"/>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Commission signs Joint Procurement contract with HIPRA for COVID-19 vaccines</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HERA, the </w:t>
      </w:r>
      <w:r w:rsidR="00B33016">
        <w:fldChar w:fldCharType="begin"/>
      </w:r>
      <w:r w:rsidR="00B33016" w:rsidRPr="00B33016">
        <w:rPr>
          <w:lang w:val="en-US"/>
        </w:rPr>
        <w:instrText xml:space="preserve"> HYPERLINK "https://ec.europa.eu/info/departments/health-emergency-preparedness-and-response-authority_en" </w:instrText>
      </w:r>
      <w:r w:rsidR="00B33016">
        <w:fldChar w:fldCharType="separate"/>
      </w:r>
      <w:r w:rsidRPr="00A36537">
        <w:rPr>
          <w:rFonts w:ascii="EHUSans" w:eastAsia="Times New Roman" w:hAnsi="EHUSans"/>
          <w:color w:val="0000FF"/>
          <w:sz w:val="24"/>
          <w:szCs w:val="24"/>
          <w:u w:val="single"/>
          <w:lang w:val="en-US" w:eastAsia="es-ES"/>
        </w:rPr>
        <w:t>European Commission's Health Preparedness and Response Authority</w:t>
      </w:r>
      <w:r w:rsidR="00B33016">
        <w:rPr>
          <w:rFonts w:ascii="EHUSans" w:eastAsia="Times New Roman" w:hAnsi="EHUSans"/>
          <w:color w:val="0000FF"/>
          <w:sz w:val="24"/>
          <w:szCs w:val="24"/>
          <w:u w:val="single"/>
          <w:lang w:val="en-US" w:eastAsia="es-ES"/>
        </w:rPr>
        <w:fldChar w:fldCharType="end"/>
      </w:r>
      <w:r w:rsidRPr="00A36537">
        <w:rPr>
          <w:rFonts w:ascii="EHUSans" w:eastAsia="Times New Roman" w:hAnsi="EHUSans"/>
          <w:sz w:val="24"/>
          <w:szCs w:val="24"/>
          <w:lang w:val="en-US" w:eastAsia="es-ES"/>
        </w:rPr>
        <w:t xml:space="preserve">, signed a joint procurement Framework Contract with the company </w:t>
      </w:r>
      <w:r w:rsidR="00B33016">
        <w:fldChar w:fldCharType="begin"/>
      </w:r>
      <w:r w:rsidR="00B33016" w:rsidRPr="00B33016">
        <w:rPr>
          <w:lang w:val="en-US"/>
        </w:rPr>
        <w:instrText xml:space="preserve"> HYPERLINK "https://www.hipracovid19.com/en" </w:instrText>
      </w:r>
      <w:r w:rsidR="00B33016">
        <w:fldChar w:fldCharType="separate"/>
      </w:r>
      <w:r w:rsidRPr="00A36537">
        <w:rPr>
          <w:rFonts w:ascii="EHUSans" w:eastAsia="Times New Roman" w:hAnsi="EHUSans"/>
          <w:color w:val="0000FF"/>
          <w:sz w:val="24"/>
          <w:szCs w:val="24"/>
          <w:u w:val="single"/>
          <w:lang w:val="en-US" w:eastAsia="es-ES"/>
        </w:rPr>
        <w:t>HIPRA HUMAN HEALTH</w:t>
      </w:r>
      <w:r w:rsidR="00B33016">
        <w:rPr>
          <w:rFonts w:ascii="EHUSans" w:eastAsia="Times New Roman" w:hAnsi="EHUSans"/>
          <w:color w:val="0000FF"/>
          <w:sz w:val="24"/>
          <w:szCs w:val="24"/>
          <w:u w:val="single"/>
          <w:lang w:val="en-US" w:eastAsia="es-ES"/>
        </w:rPr>
        <w:fldChar w:fldCharType="end"/>
      </w:r>
      <w:r w:rsidRPr="00A36537">
        <w:rPr>
          <w:rFonts w:ascii="EHUSans" w:eastAsia="Times New Roman" w:hAnsi="EHUSans"/>
          <w:sz w:val="24"/>
          <w:szCs w:val="24"/>
          <w:lang w:val="en-US" w:eastAsia="es-ES"/>
        </w:rPr>
        <w:t xml:space="preserve"> for the supply of their protein COVID-</w:t>
      </w:r>
      <w:r w:rsidRPr="00A36537">
        <w:rPr>
          <w:rFonts w:ascii="EHUSans" w:eastAsia="Times New Roman" w:hAnsi="EHUSans"/>
          <w:sz w:val="24"/>
          <w:szCs w:val="24"/>
          <w:lang w:val="en-US" w:eastAsia="es-ES"/>
        </w:rPr>
        <w:lastRenderedPageBreak/>
        <w:t xml:space="preserve">19 vaccine. </w:t>
      </w:r>
      <w:proofErr w:type="gramStart"/>
      <w:r w:rsidRPr="00A36537">
        <w:rPr>
          <w:rFonts w:ascii="EHUSans" w:eastAsia="Times New Roman" w:hAnsi="EHUSans"/>
          <w:sz w:val="24"/>
          <w:szCs w:val="24"/>
          <w:lang w:val="en-US" w:eastAsia="es-ES"/>
        </w:rPr>
        <w:t>14</w:t>
      </w:r>
      <w:proofErr w:type="gramEnd"/>
      <w:r w:rsidRPr="00A36537">
        <w:rPr>
          <w:rFonts w:ascii="EHUSans" w:eastAsia="Times New Roman" w:hAnsi="EHUSans"/>
          <w:sz w:val="24"/>
          <w:szCs w:val="24"/>
          <w:lang w:val="en-US" w:eastAsia="es-ES"/>
        </w:rPr>
        <w:t xml:space="preserve"> Member States and countries are participating in this joint procurement, under which they can purchase up to 250 million doses.</w:t>
      </w:r>
    </w:p>
    <w:p w:rsidR="00A36537" w:rsidRPr="00A36537" w:rsidRDefault="00A36537" w:rsidP="00A36537">
      <w:pPr>
        <w:spacing w:before="100" w:beforeAutospacing="1" w:after="100" w:afterAutospacing="1"/>
        <w:outlineLvl w:val="1"/>
        <w:rPr>
          <w:rFonts w:ascii="EHUSans" w:eastAsia="Times New Roman" w:hAnsi="EHUSans"/>
          <w:b/>
          <w:bCs/>
          <w:sz w:val="36"/>
          <w:szCs w:val="36"/>
          <w:lang w:val="en" w:eastAsia="es-ES"/>
        </w:rPr>
      </w:pPr>
      <w:r w:rsidRPr="00A36537">
        <w:rPr>
          <w:rFonts w:ascii="EHUSans" w:eastAsia="Times New Roman" w:hAnsi="EHUSans"/>
          <w:b/>
          <w:bCs/>
          <w:sz w:val="36"/>
          <w:szCs w:val="36"/>
          <w:lang w:val="en" w:eastAsia="es-ES"/>
        </w:rPr>
        <w:t>July 2022</w:t>
      </w:r>
    </w:p>
    <w:p w:rsidR="00A36537" w:rsidRPr="00A36537" w:rsidRDefault="00A36537" w:rsidP="00A36537">
      <w:pPr>
        <w:numPr>
          <w:ilvl w:val="0"/>
          <w:numId w:val="4"/>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12 </w:t>
      </w:r>
      <w:proofErr w:type="spellStart"/>
      <w:r w:rsidRPr="00A36537">
        <w:rPr>
          <w:rFonts w:ascii="EHUSans" w:eastAsia="Times New Roman" w:hAnsi="EHUSans"/>
          <w:sz w:val="24"/>
          <w:szCs w:val="24"/>
          <w:lang w:eastAsia="es-ES"/>
        </w:rPr>
        <w:t>July</w:t>
      </w:r>
      <w:proofErr w:type="spellEnd"/>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 xml:space="preserve">Commission raises €8 billion in its 11th transaction since the start of the </w:t>
      </w:r>
      <w:proofErr w:type="spellStart"/>
      <w:r w:rsidRPr="00A36537">
        <w:rPr>
          <w:rFonts w:ascii="EHUSans" w:eastAsia="Times New Roman" w:hAnsi="EHUSans"/>
          <w:b/>
          <w:bCs/>
          <w:sz w:val="24"/>
          <w:szCs w:val="24"/>
          <w:lang w:val="en-US" w:eastAsia="es-ES"/>
        </w:rPr>
        <w:t>programme</w:t>
      </w:r>
      <w:proofErr w:type="spellEnd"/>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European Commission has today issued €8 billion in a dual tranche transaction under the </w:t>
      </w:r>
      <w:proofErr w:type="spellStart"/>
      <w:r w:rsidRPr="00A36537">
        <w:rPr>
          <w:rFonts w:ascii="EHUSans" w:eastAsia="Times New Roman" w:hAnsi="EHUSans"/>
          <w:sz w:val="24"/>
          <w:szCs w:val="24"/>
          <w:lang w:val="en-US" w:eastAsia="es-ES"/>
        </w:rPr>
        <w:t>NextGenerationEU</w:t>
      </w:r>
      <w:proofErr w:type="spellEnd"/>
      <w:r w:rsidRPr="00A36537">
        <w:rPr>
          <w:rFonts w:ascii="EHUSans" w:eastAsia="Times New Roman" w:hAnsi="EHUSans"/>
          <w:sz w:val="24"/>
          <w:szCs w:val="24"/>
          <w:lang w:val="en-US" w:eastAsia="es-ES"/>
        </w:rPr>
        <w:t xml:space="preserve"> recovery instrument. The deal was the 11th syndicated transaction under </w:t>
      </w:r>
      <w:proofErr w:type="spellStart"/>
      <w:r w:rsidRPr="00A36537">
        <w:rPr>
          <w:rFonts w:ascii="EHUSans" w:eastAsia="Times New Roman" w:hAnsi="EHUSans"/>
          <w:sz w:val="24"/>
          <w:szCs w:val="24"/>
          <w:lang w:val="en-US" w:eastAsia="es-ES"/>
        </w:rPr>
        <w:t>NextGenerationEU</w:t>
      </w:r>
      <w:proofErr w:type="spellEnd"/>
      <w:r w:rsidRPr="00A36537">
        <w:rPr>
          <w:rFonts w:ascii="EHUSans" w:eastAsia="Times New Roman" w:hAnsi="EHUSans"/>
          <w:sz w:val="24"/>
          <w:szCs w:val="24"/>
          <w:lang w:val="en-US" w:eastAsia="es-ES"/>
        </w:rPr>
        <w:t xml:space="preserve"> and the </w:t>
      </w:r>
      <w:proofErr w:type="gramStart"/>
      <w:r w:rsidRPr="00A36537">
        <w:rPr>
          <w:rFonts w:ascii="EHUSans" w:eastAsia="Times New Roman" w:hAnsi="EHUSans"/>
          <w:sz w:val="24"/>
          <w:szCs w:val="24"/>
          <w:lang w:val="en-US" w:eastAsia="es-ES"/>
        </w:rPr>
        <w:t>6th</w:t>
      </w:r>
      <w:proofErr w:type="gramEnd"/>
      <w:r w:rsidRPr="00A36537">
        <w:rPr>
          <w:rFonts w:ascii="EHUSans" w:eastAsia="Times New Roman" w:hAnsi="EHUSans"/>
          <w:sz w:val="24"/>
          <w:szCs w:val="24"/>
          <w:lang w:val="en-US" w:eastAsia="es-ES"/>
        </w:rPr>
        <w:t> in 2022. It consisted of a new 7-year bond of €5 billion due on 4 December 2029 and a €3 billion tap of an existing 20-year bond due on 4 July 2041.</w:t>
      </w:r>
    </w:p>
    <w:p w:rsidR="00A36537" w:rsidRPr="00A36537" w:rsidRDefault="00A36537" w:rsidP="00A36537">
      <w:pPr>
        <w:spacing w:before="100" w:beforeAutospacing="1" w:after="100" w:afterAutospacing="1"/>
        <w:outlineLvl w:val="1"/>
        <w:rPr>
          <w:rFonts w:ascii="EHUSans" w:eastAsia="Times New Roman" w:hAnsi="EHUSans"/>
          <w:b/>
          <w:bCs/>
          <w:sz w:val="36"/>
          <w:szCs w:val="36"/>
          <w:lang w:val="en" w:eastAsia="es-ES"/>
        </w:rPr>
      </w:pPr>
      <w:r w:rsidRPr="00A36537">
        <w:rPr>
          <w:rFonts w:ascii="EHUSans" w:eastAsia="Times New Roman" w:hAnsi="EHUSans"/>
          <w:b/>
          <w:bCs/>
          <w:sz w:val="36"/>
          <w:szCs w:val="36"/>
          <w:lang w:val="en" w:eastAsia="es-ES"/>
        </w:rPr>
        <w:t>June 2022</w:t>
      </w:r>
    </w:p>
    <w:p w:rsidR="00A36537" w:rsidRPr="00A36537" w:rsidRDefault="00A36537" w:rsidP="00A36537">
      <w:pPr>
        <w:numPr>
          <w:ilvl w:val="0"/>
          <w:numId w:val="5"/>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24 June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 xml:space="preserve">Commission </w:t>
      </w:r>
      <w:proofErr w:type="spellStart"/>
      <w:r w:rsidRPr="00A36537">
        <w:rPr>
          <w:rFonts w:ascii="EHUSans" w:eastAsia="Times New Roman" w:hAnsi="EHUSans"/>
          <w:b/>
          <w:bCs/>
          <w:sz w:val="24"/>
          <w:szCs w:val="24"/>
          <w:lang w:val="en-US" w:eastAsia="es-ES"/>
        </w:rPr>
        <w:t>authorises</w:t>
      </w:r>
      <w:proofErr w:type="spellEnd"/>
      <w:r w:rsidRPr="00A36537">
        <w:rPr>
          <w:rFonts w:ascii="EHUSans" w:eastAsia="Times New Roman" w:hAnsi="EHUSans"/>
          <w:b/>
          <w:bCs/>
          <w:sz w:val="24"/>
          <w:szCs w:val="24"/>
          <w:lang w:val="en-US" w:eastAsia="es-ES"/>
        </w:rPr>
        <w:t xml:space="preserve"> sixth vaccine against COVID-19</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granted a marketing </w:t>
      </w:r>
      <w:proofErr w:type="spellStart"/>
      <w:r w:rsidRPr="00A36537">
        <w:rPr>
          <w:rFonts w:ascii="EHUSans" w:eastAsia="Times New Roman" w:hAnsi="EHUSans"/>
          <w:sz w:val="24"/>
          <w:szCs w:val="24"/>
          <w:lang w:val="en-US" w:eastAsia="es-ES"/>
        </w:rPr>
        <w:t>authorisation</w:t>
      </w:r>
      <w:proofErr w:type="spellEnd"/>
      <w:r w:rsidRPr="00A36537">
        <w:rPr>
          <w:rFonts w:ascii="EHUSans" w:eastAsia="Times New Roman" w:hAnsi="EHUSans"/>
          <w:sz w:val="24"/>
          <w:szCs w:val="24"/>
          <w:lang w:val="en-US" w:eastAsia="es-ES"/>
        </w:rPr>
        <w:t xml:space="preserve"> for the COVID</w:t>
      </w:r>
      <w:r w:rsidRPr="00A36537">
        <w:rPr>
          <w:rFonts w:ascii="EHUSans" w:eastAsia="Times New Roman" w:hAnsi="EHUSans"/>
          <w:sz w:val="24"/>
          <w:szCs w:val="24"/>
          <w:lang w:val="en-US" w:eastAsia="es-ES"/>
        </w:rPr>
        <w:noBreakHyphen/>
        <w:t xml:space="preserve">19 vaccine developed by </w:t>
      </w:r>
      <w:proofErr w:type="spellStart"/>
      <w:r w:rsidRPr="00A36537">
        <w:rPr>
          <w:rFonts w:ascii="EHUSans" w:eastAsia="Times New Roman" w:hAnsi="EHUSans"/>
          <w:sz w:val="24"/>
          <w:szCs w:val="24"/>
          <w:lang w:val="en-US" w:eastAsia="es-ES"/>
        </w:rPr>
        <w:t>Valneva</w:t>
      </w:r>
      <w:proofErr w:type="spellEnd"/>
      <w:r w:rsidRPr="00A36537">
        <w:rPr>
          <w:rFonts w:ascii="EHUSans" w:eastAsia="Times New Roman" w:hAnsi="EHUSans"/>
          <w:sz w:val="24"/>
          <w:szCs w:val="24"/>
          <w:lang w:val="en-US" w:eastAsia="es-ES"/>
        </w:rPr>
        <w:t xml:space="preserve">, the sixth COVID-19 vaccine </w:t>
      </w:r>
      <w:proofErr w:type="spellStart"/>
      <w:r w:rsidRPr="00A36537">
        <w:rPr>
          <w:rFonts w:ascii="EHUSans" w:eastAsia="Times New Roman" w:hAnsi="EHUSans"/>
          <w:sz w:val="24"/>
          <w:szCs w:val="24"/>
          <w:lang w:val="en-US" w:eastAsia="es-ES"/>
        </w:rPr>
        <w:t>authorised</w:t>
      </w:r>
      <w:proofErr w:type="spellEnd"/>
      <w:r w:rsidRPr="00A36537">
        <w:rPr>
          <w:rFonts w:ascii="EHUSans" w:eastAsia="Times New Roman" w:hAnsi="EHUSans"/>
          <w:sz w:val="24"/>
          <w:szCs w:val="24"/>
          <w:lang w:val="en-US" w:eastAsia="es-ES"/>
        </w:rPr>
        <w:t xml:space="preserve"> in the EU. This </w:t>
      </w:r>
      <w:proofErr w:type="spellStart"/>
      <w:r w:rsidRPr="00A36537">
        <w:rPr>
          <w:rFonts w:ascii="EHUSans" w:eastAsia="Times New Roman" w:hAnsi="EHUSans"/>
          <w:sz w:val="24"/>
          <w:szCs w:val="24"/>
          <w:lang w:val="en-US" w:eastAsia="es-ES"/>
        </w:rPr>
        <w:t>authorisation</w:t>
      </w:r>
      <w:proofErr w:type="spellEnd"/>
      <w:r w:rsidRPr="00A36537">
        <w:rPr>
          <w:rFonts w:ascii="EHUSans" w:eastAsia="Times New Roman" w:hAnsi="EHUSans"/>
          <w:sz w:val="24"/>
          <w:szCs w:val="24"/>
          <w:lang w:val="en-US" w:eastAsia="es-ES"/>
        </w:rPr>
        <w:t xml:space="preserve"> follows a positive scientific </w:t>
      </w:r>
      <w:hyperlink r:id="rId8" w:history="1">
        <w:r w:rsidRPr="00A36537">
          <w:rPr>
            <w:rFonts w:ascii="EHUSans" w:eastAsia="Times New Roman" w:hAnsi="EHUSans"/>
            <w:color w:val="0000FF"/>
            <w:sz w:val="24"/>
            <w:szCs w:val="24"/>
            <w:u w:val="single"/>
            <w:lang w:val="en-US" w:eastAsia="es-ES"/>
          </w:rPr>
          <w:t>recommendation by the European Medicines Agency</w:t>
        </w:r>
      </w:hyperlink>
      <w:r w:rsidRPr="00A36537">
        <w:rPr>
          <w:rFonts w:ascii="EHUSans" w:eastAsia="Times New Roman" w:hAnsi="EHUSans"/>
          <w:sz w:val="24"/>
          <w:szCs w:val="24"/>
          <w:lang w:val="en-US" w:eastAsia="es-ES"/>
        </w:rPr>
        <w:t xml:space="preserve"> (EMA).</w:t>
      </w:r>
    </w:p>
    <w:p w:rsidR="00A36537" w:rsidRPr="00A36537" w:rsidRDefault="00A36537" w:rsidP="00A36537">
      <w:pPr>
        <w:numPr>
          <w:ilvl w:val="0"/>
          <w:numId w:val="5"/>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21 June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Commission raises €5 billion in green bonds in successful 10th transaction</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issued a further €5 billion in </w:t>
      </w:r>
      <w:proofErr w:type="spellStart"/>
      <w:r w:rsidRPr="00A36537">
        <w:rPr>
          <w:rFonts w:ascii="EHUSans" w:eastAsia="Times New Roman" w:hAnsi="EHUSans"/>
          <w:sz w:val="24"/>
          <w:szCs w:val="24"/>
          <w:lang w:val="en-US" w:eastAsia="es-ES"/>
        </w:rPr>
        <w:t>NextGenerationEU</w:t>
      </w:r>
      <w:proofErr w:type="spellEnd"/>
      <w:r w:rsidRPr="00A36537">
        <w:rPr>
          <w:rFonts w:ascii="EHUSans" w:eastAsia="Times New Roman" w:hAnsi="EHUSans"/>
          <w:sz w:val="24"/>
          <w:szCs w:val="24"/>
          <w:lang w:val="en-US" w:eastAsia="es-ES"/>
        </w:rPr>
        <w:t xml:space="preserve"> green bonds in the 10th syndicated transaction under the </w:t>
      </w:r>
      <w:proofErr w:type="spellStart"/>
      <w:r w:rsidRPr="00A36537">
        <w:rPr>
          <w:rFonts w:ascii="EHUSans" w:eastAsia="Times New Roman" w:hAnsi="EHUSans"/>
          <w:sz w:val="24"/>
          <w:szCs w:val="24"/>
          <w:lang w:val="en-US" w:eastAsia="es-ES"/>
        </w:rPr>
        <w:t>NextGenerationEU</w:t>
      </w:r>
      <w:proofErr w:type="spellEnd"/>
      <w:r w:rsidRPr="00A36537">
        <w:rPr>
          <w:rFonts w:ascii="EHUSans" w:eastAsia="Times New Roman" w:hAnsi="EHUSans"/>
          <w:sz w:val="24"/>
          <w:szCs w:val="24"/>
          <w:lang w:val="en-US" w:eastAsia="es-ES"/>
        </w:rPr>
        <w:t xml:space="preserve"> recovery instrument. The long 25-year bond due on 4 February 2048 was over six times oversubscribed. With this transaction, the Commission has issued a total of €47.5 billion in the first half of 2022, bringing it </w:t>
      </w:r>
      <w:proofErr w:type="gramStart"/>
      <w:r w:rsidRPr="00A36537">
        <w:rPr>
          <w:rFonts w:ascii="EHUSans" w:eastAsia="Times New Roman" w:hAnsi="EHUSans"/>
          <w:sz w:val="24"/>
          <w:szCs w:val="24"/>
          <w:lang w:val="en-US" w:eastAsia="es-ES"/>
        </w:rPr>
        <w:t>one step</w:t>
      </w:r>
      <w:proofErr w:type="gramEnd"/>
      <w:r w:rsidRPr="00A36537">
        <w:rPr>
          <w:rFonts w:ascii="EHUSans" w:eastAsia="Times New Roman" w:hAnsi="EHUSans"/>
          <w:sz w:val="24"/>
          <w:szCs w:val="24"/>
          <w:lang w:val="en-US" w:eastAsia="es-ES"/>
        </w:rPr>
        <w:t xml:space="preserve"> closer to the €50 billion </w:t>
      </w:r>
      <w:proofErr w:type="spellStart"/>
      <w:r w:rsidRPr="00A36537">
        <w:rPr>
          <w:rFonts w:ascii="EHUSans" w:eastAsia="Times New Roman" w:hAnsi="EHUSans"/>
          <w:sz w:val="24"/>
          <w:szCs w:val="24"/>
          <w:lang w:val="en-US" w:eastAsia="es-ES"/>
        </w:rPr>
        <w:t>NextGenerationEU</w:t>
      </w:r>
      <w:proofErr w:type="spellEnd"/>
      <w:r w:rsidRPr="00A36537">
        <w:rPr>
          <w:rFonts w:ascii="EHUSans" w:eastAsia="Times New Roman" w:hAnsi="EHUSans"/>
          <w:sz w:val="24"/>
          <w:szCs w:val="24"/>
          <w:lang w:val="en-US" w:eastAsia="es-ES"/>
        </w:rPr>
        <w:t xml:space="preserve"> funding target for the first six months of the year.</w:t>
      </w:r>
    </w:p>
    <w:p w:rsidR="00A36537" w:rsidRPr="00A36537" w:rsidRDefault="00A36537" w:rsidP="00A36537">
      <w:pPr>
        <w:numPr>
          <w:ilvl w:val="0"/>
          <w:numId w:val="5"/>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 June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Commission endorses Poland's €35.4 billion recovery and resilience plan</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gave a </w:t>
      </w:r>
      <w:hyperlink r:id="rId9" w:history="1">
        <w:r w:rsidRPr="00A36537">
          <w:rPr>
            <w:rFonts w:ascii="EHUSans" w:eastAsia="Times New Roman" w:hAnsi="EHUSans"/>
            <w:color w:val="0000FF"/>
            <w:sz w:val="24"/>
            <w:szCs w:val="24"/>
            <w:u w:val="single"/>
            <w:lang w:val="en-US" w:eastAsia="es-ES"/>
          </w:rPr>
          <w:t>positive assessment</w:t>
        </w:r>
      </w:hyperlink>
      <w:r w:rsidRPr="00A36537">
        <w:rPr>
          <w:rFonts w:ascii="EHUSans" w:eastAsia="Times New Roman" w:hAnsi="EHUSans"/>
          <w:sz w:val="24"/>
          <w:szCs w:val="24"/>
          <w:lang w:val="en-US" w:eastAsia="es-ES"/>
        </w:rPr>
        <w:t xml:space="preserve"> of Poland's recovery and resilience plan, an important step towards the EU disbursing €23.9 billion </w:t>
      </w:r>
      <w:r w:rsidRPr="00A36537">
        <w:rPr>
          <w:rFonts w:ascii="EHUSans" w:eastAsia="Times New Roman" w:hAnsi="EHUSans"/>
          <w:sz w:val="24"/>
          <w:szCs w:val="24"/>
          <w:lang w:val="en-US" w:eastAsia="es-ES"/>
        </w:rPr>
        <w:lastRenderedPageBreak/>
        <w:t>in grants and €11.5 billion in loans under the Recovery and Resilience Facility. This financing will support the implementation of the crucial investment and reform measures outlined in Poland's recovery and resilience plan. It will enable Poland to emerge stronger from the COVID-19 pandemic and progress with the green and digital transitions.</w:t>
      </w:r>
    </w:p>
    <w:p w:rsidR="00A36537" w:rsidRPr="00A36537" w:rsidRDefault="00A36537" w:rsidP="00A36537">
      <w:pPr>
        <w:spacing w:before="100" w:beforeAutospacing="1" w:after="100" w:afterAutospacing="1"/>
        <w:outlineLvl w:val="1"/>
        <w:rPr>
          <w:rFonts w:ascii="EHUSans" w:eastAsia="Times New Roman" w:hAnsi="EHUSans"/>
          <w:b/>
          <w:bCs/>
          <w:sz w:val="36"/>
          <w:szCs w:val="36"/>
          <w:lang w:val="en" w:eastAsia="es-ES"/>
        </w:rPr>
      </w:pPr>
      <w:r w:rsidRPr="00A36537">
        <w:rPr>
          <w:rFonts w:ascii="EHUSans" w:eastAsia="Times New Roman" w:hAnsi="EHUSans"/>
          <w:b/>
          <w:bCs/>
          <w:sz w:val="36"/>
          <w:szCs w:val="36"/>
          <w:lang w:val="en" w:eastAsia="es-ES"/>
        </w:rPr>
        <w:t>May 2022</w:t>
      </w:r>
    </w:p>
    <w:p w:rsidR="00A36537" w:rsidRPr="00A36537" w:rsidRDefault="00A36537" w:rsidP="00A36537">
      <w:pPr>
        <w:numPr>
          <w:ilvl w:val="0"/>
          <w:numId w:val="6"/>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12 </w:t>
      </w:r>
      <w:proofErr w:type="spellStart"/>
      <w:r w:rsidRPr="00A36537">
        <w:rPr>
          <w:rFonts w:ascii="EHUSans" w:eastAsia="Times New Roman" w:hAnsi="EHUSans"/>
          <w:sz w:val="24"/>
          <w:szCs w:val="24"/>
          <w:lang w:eastAsia="es-ES"/>
        </w:rPr>
        <w:t>May</w:t>
      </w:r>
      <w:proofErr w:type="spellEnd"/>
      <w:r w:rsidRPr="00A36537">
        <w:rPr>
          <w:rFonts w:ascii="EHUSans" w:eastAsia="Times New Roman" w:hAnsi="EHUSans"/>
          <w:sz w:val="24"/>
          <w:szCs w:val="24"/>
          <w:lang w:eastAsia="es-ES"/>
        </w:rPr>
        <w:t xml:space="preserve"> </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Stepping up funding to vaccination roll-out in Africa</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w:t>
      </w:r>
      <w:r w:rsidR="00B33016">
        <w:fldChar w:fldCharType="begin"/>
      </w:r>
      <w:r w:rsidR="00B33016" w:rsidRPr="00B33016">
        <w:rPr>
          <w:lang w:val="en-US"/>
        </w:rPr>
        <w:instrText xml:space="preserve"> HYPERLINK "https://ec.europa.eu/commission/presscorner/detail/en/ip_22_3035" </w:instrText>
      </w:r>
      <w:r w:rsidR="00B33016">
        <w:fldChar w:fldCharType="separate"/>
      </w:r>
      <w:r w:rsidRPr="00A36537">
        <w:rPr>
          <w:rFonts w:ascii="EHUSans" w:eastAsia="Times New Roman" w:hAnsi="EHUSans"/>
          <w:color w:val="0000FF"/>
          <w:sz w:val="24"/>
          <w:szCs w:val="24"/>
          <w:u w:val="single"/>
          <w:lang w:val="en-US" w:eastAsia="es-ES"/>
        </w:rPr>
        <w:t>announced</w:t>
      </w:r>
      <w:r w:rsidR="00B33016">
        <w:rPr>
          <w:rFonts w:ascii="EHUSans" w:eastAsia="Times New Roman" w:hAnsi="EHUSans"/>
          <w:color w:val="0000FF"/>
          <w:sz w:val="24"/>
          <w:szCs w:val="24"/>
          <w:u w:val="single"/>
          <w:lang w:val="en-US" w:eastAsia="es-ES"/>
        </w:rPr>
        <w:fldChar w:fldCharType="end"/>
      </w:r>
      <w:r w:rsidRPr="00A36537">
        <w:rPr>
          <w:rFonts w:ascii="EHUSans" w:eastAsia="Times New Roman" w:hAnsi="EHUSans"/>
          <w:sz w:val="24"/>
          <w:szCs w:val="24"/>
          <w:lang w:val="en-US" w:eastAsia="es-ES"/>
        </w:rPr>
        <w:t xml:space="preserve"> its intention to step up funding to accelerate </w:t>
      </w:r>
      <w:proofErr w:type="gramStart"/>
      <w:r w:rsidRPr="00A36537">
        <w:rPr>
          <w:rFonts w:ascii="EHUSans" w:eastAsia="Times New Roman" w:hAnsi="EHUSans"/>
          <w:sz w:val="24"/>
          <w:szCs w:val="24"/>
          <w:lang w:val="en-US" w:eastAsia="es-ES"/>
        </w:rPr>
        <w:t>roll-out</w:t>
      </w:r>
      <w:proofErr w:type="gramEnd"/>
      <w:r w:rsidRPr="00A36537">
        <w:rPr>
          <w:rFonts w:ascii="EHUSans" w:eastAsia="Times New Roman" w:hAnsi="EHUSans"/>
          <w:sz w:val="24"/>
          <w:szCs w:val="24"/>
          <w:lang w:val="en-US" w:eastAsia="es-ES"/>
        </w:rPr>
        <w:t xml:space="preserve"> and uptake of vaccines and other COVID-19 tools in Africa, with a further €400 million in support. The Commission also foresees a €427 million euros contribution to the Global Pandemic Preparedness Fund to support efforts to prevent and better respond to future pandemics.</w:t>
      </w:r>
    </w:p>
    <w:p w:rsidR="00A36537" w:rsidRPr="00A36537" w:rsidRDefault="00A36537" w:rsidP="00A36537">
      <w:pPr>
        <w:numPr>
          <w:ilvl w:val="0"/>
          <w:numId w:val="6"/>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11 </w:t>
      </w:r>
      <w:proofErr w:type="spellStart"/>
      <w:r w:rsidRPr="00A36537">
        <w:rPr>
          <w:rFonts w:ascii="EHUSans" w:eastAsia="Times New Roman" w:hAnsi="EHUSans"/>
          <w:sz w:val="24"/>
          <w:szCs w:val="24"/>
          <w:lang w:eastAsia="es-ES"/>
        </w:rPr>
        <w:t>May</w:t>
      </w:r>
      <w:proofErr w:type="spellEnd"/>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Commission raises a further €9 billion in support of Europe's recovery and resilience</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issued a further €9 billion in a dual tranche transaction under the </w:t>
      </w:r>
      <w:proofErr w:type="spellStart"/>
      <w:r w:rsidRPr="00A36537">
        <w:rPr>
          <w:rFonts w:ascii="EHUSans" w:eastAsia="Times New Roman" w:hAnsi="EHUSans"/>
          <w:sz w:val="24"/>
          <w:szCs w:val="24"/>
          <w:lang w:val="en-US" w:eastAsia="es-ES"/>
        </w:rPr>
        <w:t>NextGenerationEU</w:t>
      </w:r>
      <w:proofErr w:type="spellEnd"/>
      <w:r w:rsidRPr="00A36537">
        <w:rPr>
          <w:rFonts w:ascii="EHUSans" w:eastAsia="Times New Roman" w:hAnsi="EHUSans"/>
          <w:sz w:val="24"/>
          <w:szCs w:val="24"/>
          <w:lang w:val="en-US" w:eastAsia="es-ES"/>
        </w:rPr>
        <w:t xml:space="preserve"> recovery instrument. The deal is the </w:t>
      </w:r>
      <w:proofErr w:type="gramStart"/>
      <w:r w:rsidRPr="00A36537">
        <w:rPr>
          <w:rFonts w:ascii="EHUSans" w:eastAsia="Times New Roman" w:hAnsi="EHUSans"/>
          <w:sz w:val="24"/>
          <w:szCs w:val="24"/>
          <w:lang w:val="en-US" w:eastAsia="es-ES"/>
        </w:rPr>
        <w:t>9th</w:t>
      </w:r>
      <w:proofErr w:type="gramEnd"/>
      <w:r w:rsidRPr="00A36537">
        <w:rPr>
          <w:rFonts w:ascii="EHUSans" w:eastAsia="Times New Roman" w:hAnsi="EHUSans"/>
          <w:sz w:val="24"/>
          <w:szCs w:val="24"/>
          <w:lang w:val="en-US" w:eastAsia="es-ES"/>
        </w:rPr>
        <w:t xml:space="preserve"> syndicated transaction under </w:t>
      </w:r>
      <w:proofErr w:type="spellStart"/>
      <w:r w:rsidRPr="00A36537">
        <w:rPr>
          <w:rFonts w:ascii="EHUSans" w:eastAsia="Times New Roman" w:hAnsi="EHUSans"/>
          <w:sz w:val="24"/>
          <w:szCs w:val="24"/>
          <w:lang w:val="en-US" w:eastAsia="es-ES"/>
        </w:rPr>
        <w:t>NextGenerationEU</w:t>
      </w:r>
      <w:proofErr w:type="spellEnd"/>
      <w:r w:rsidRPr="00A36537">
        <w:rPr>
          <w:rFonts w:ascii="EHUSans" w:eastAsia="Times New Roman" w:hAnsi="EHUSans"/>
          <w:sz w:val="24"/>
          <w:szCs w:val="24"/>
          <w:lang w:val="en-US" w:eastAsia="es-ES"/>
        </w:rPr>
        <w:t xml:space="preserve">, and the 4th of 2022. It consisted of a new 3-year bond of €6 billion due on 4 July 2025 and a €3 billion tap of an existing 30-year bond due on 6 July 2051. </w:t>
      </w:r>
      <w:proofErr w:type="gramStart"/>
      <w:r w:rsidRPr="00A36537">
        <w:rPr>
          <w:rFonts w:ascii="EHUSans" w:eastAsia="Times New Roman" w:hAnsi="EHUSans"/>
          <w:sz w:val="24"/>
          <w:szCs w:val="24"/>
          <w:lang w:val="en-US" w:eastAsia="es-ES"/>
        </w:rPr>
        <w:t>This is the first 3-year bond the Commission has issued</w:t>
      </w:r>
      <w:proofErr w:type="gramEnd"/>
      <w:r w:rsidRPr="00A36537">
        <w:rPr>
          <w:rFonts w:ascii="EHUSans" w:eastAsia="Times New Roman" w:hAnsi="EHUSans"/>
          <w:sz w:val="24"/>
          <w:szCs w:val="24"/>
          <w:lang w:val="en-US" w:eastAsia="es-ES"/>
        </w:rPr>
        <w:t xml:space="preserve"> under its diversified funding strategy.</w:t>
      </w:r>
    </w:p>
    <w:p w:rsidR="00A36537" w:rsidRPr="00A36537" w:rsidRDefault="00A36537" w:rsidP="00A36537">
      <w:pPr>
        <w:spacing w:before="100" w:beforeAutospacing="1" w:after="100" w:afterAutospacing="1"/>
        <w:outlineLvl w:val="1"/>
        <w:rPr>
          <w:rFonts w:ascii="EHUSans" w:eastAsia="Times New Roman" w:hAnsi="EHUSans"/>
          <w:b/>
          <w:bCs/>
          <w:sz w:val="36"/>
          <w:szCs w:val="36"/>
          <w:lang w:val="en" w:eastAsia="es-ES"/>
        </w:rPr>
      </w:pPr>
      <w:r w:rsidRPr="00A36537">
        <w:rPr>
          <w:rFonts w:ascii="EHUSans" w:eastAsia="Times New Roman" w:hAnsi="EHUSans"/>
          <w:b/>
          <w:bCs/>
          <w:sz w:val="36"/>
          <w:szCs w:val="36"/>
          <w:lang w:val="en" w:eastAsia="es-ES"/>
        </w:rPr>
        <w:t>April 2022</w:t>
      </w:r>
    </w:p>
    <w:p w:rsidR="00A36537" w:rsidRPr="00A36537" w:rsidRDefault="00A36537" w:rsidP="00A36537">
      <w:pPr>
        <w:numPr>
          <w:ilvl w:val="0"/>
          <w:numId w:val="7"/>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27 </w:t>
      </w:r>
      <w:proofErr w:type="spellStart"/>
      <w:r w:rsidRPr="00A36537">
        <w:rPr>
          <w:rFonts w:ascii="EHUSans" w:eastAsia="Times New Roman" w:hAnsi="EHUSans"/>
          <w:sz w:val="24"/>
          <w:szCs w:val="24"/>
          <w:lang w:eastAsia="es-ES"/>
        </w:rPr>
        <w:t>April</w:t>
      </w:r>
      <w:proofErr w:type="spellEnd"/>
      <w:r w:rsidRPr="00A36537">
        <w:rPr>
          <w:rFonts w:ascii="EHUSans" w:eastAsia="Times New Roman" w:hAnsi="EHUSans"/>
          <w:sz w:val="24"/>
          <w:szCs w:val="24"/>
          <w:lang w:eastAsia="es-ES"/>
        </w:rPr>
        <w:t xml:space="preserve"> </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Commission calls on Member States to step up preparedness for the next pandemic phase</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proposed a </w:t>
      </w:r>
      <w:hyperlink r:id="rId10" w:history="1">
        <w:r w:rsidRPr="00A36537">
          <w:rPr>
            <w:rFonts w:ascii="EHUSans" w:eastAsia="Times New Roman" w:hAnsi="EHUSans"/>
            <w:color w:val="0000FF"/>
            <w:sz w:val="24"/>
            <w:szCs w:val="24"/>
            <w:u w:val="single"/>
            <w:lang w:val="en-US" w:eastAsia="es-ES"/>
          </w:rPr>
          <w:t>set of actions</w:t>
        </w:r>
      </w:hyperlink>
      <w:r w:rsidRPr="00A36537">
        <w:rPr>
          <w:rFonts w:ascii="EHUSans" w:eastAsia="Times New Roman" w:hAnsi="EHUSans"/>
          <w:sz w:val="24"/>
          <w:szCs w:val="24"/>
          <w:lang w:val="en-US" w:eastAsia="es-ES"/>
        </w:rPr>
        <w:t xml:space="preserve"> to manage the current phase of the COVID-19 pandemic and prepare for the next one. It called on Member States to take actions before autumn to ensure vigilance and continued coordination of health preparedness and response.</w:t>
      </w:r>
    </w:p>
    <w:p w:rsidR="00A36537" w:rsidRPr="00A36537" w:rsidRDefault="00A36537" w:rsidP="00A36537">
      <w:pPr>
        <w:numPr>
          <w:ilvl w:val="0"/>
          <w:numId w:val="7"/>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7 </w:t>
      </w:r>
      <w:proofErr w:type="spellStart"/>
      <w:r w:rsidRPr="00A36537">
        <w:rPr>
          <w:rFonts w:ascii="EHUSans" w:eastAsia="Times New Roman" w:hAnsi="EHUSans"/>
          <w:sz w:val="24"/>
          <w:szCs w:val="24"/>
          <w:lang w:eastAsia="es-ES"/>
        </w:rPr>
        <w:t>April</w:t>
      </w:r>
      <w:proofErr w:type="spellEnd"/>
      <w:r w:rsidRPr="00A36537">
        <w:rPr>
          <w:rFonts w:ascii="EHUSans" w:eastAsia="Times New Roman" w:hAnsi="EHUSans"/>
          <w:sz w:val="24"/>
          <w:szCs w:val="24"/>
          <w:lang w:eastAsia="es-ES"/>
        </w:rPr>
        <w:t xml:space="preserve"> 2022</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lastRenderedPageBreak/>
        <w:t>Commission endorses Bulgaria's €6.3 billion recovery and resilience plan</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adopted a </w:t>
      </w:r>
      <w:hyperlink r:id="rId11" w:history="1">
        <w:r w:rsidRPr="00A36537">
          <w:rPr>
            <w:rFonts w:ascii="EHUSans" w:eastAsia="Times New Roman" w:hAnsi="EHUSans"/>
            <w:color w:val="0000FF"/>
            <w:sz w:val="24"/>
            <w:szCs w:val="24"/>
            <w:u w:val="single"/>
            <w:lang w:val="en-US" w:eastAsia="es-ES"/>
          </w:rPr>
          <w:t>positive assessment</w:t>
        </w:r>
      </w:hyperlink>
      <w:r w:rsidRPr="00A36537">
        <w:rPr>
          <w:rFonts w:ascii="EHUSans" w:eastAsia="Times New Roman" w:hAnsi="EHUSans"/>
          <w:sz w:val="24"/>
          <w:szCs w:val="24"/>
          <w:lang w:val="en-US" w:eastAsia="es-ES"/>
        </w:rPr>
        <w:t xml:space="preserve"> of Bulgaria's recovery and resilience plan. This is a key step paving the way for the EU to disburse €6.3 billion in grants under the Recovery and Resilience Facility. This financing will support the implementation of the crucial investment and reform measures outlined in Bulgaria's recovery and resilience plan. It will play a crucial role in enabling Bulgaria to emerge stronger from the COVID-19 pandemic.</w:t>
      </w:r>
    </w:p>
    <w:p w:rsidR="00A36537" w:rsidRPr="00A36537" w:rsidRDefault="00A36537" w:rsidP="00A36537">
      <w:pPr>
        <w:spacing w:before="100" w:beforeAutospacing="1" w:after="100" w:afterAutospacing="1"/>
        <w:outlineLvl w:val="1"/>
        <w:rPr>
          <w:rFonts w:ascii="EHUSans" w:eastAsia="Times New Roman" w:hAnsi="EHUSans"/>
          <w:b/>
          <w:bCs/>
          <w:sz w:val="36"/>
          <w:szCs w:val="36"/>
          <w:lang w:val="en" w:eastAsia="es-ES"/>
        </w:rPr>
      </w:pPr>
      <w:r w:rsidRPr="00A36537">
        <w:rPr>
          <w:rFonts w:ascii="EHUSans" w:eastAsia="Times New Roman" w:hAnsi="EHUSans"/>
          <w:b/>
          <w:bCs/>
          <w:sz w:val="36"/>
          <w:szCs w:val="36"/>
          <w:lang w:val="en" w:eastAsia="es-ES"/>
        </w:rPr>
        <w:t>March 2022</w:t>
      </w:r>
    </w:p>
    <w:p w:rsidR="00A36537" w:rsidRPr="00A36537" w:rsidRDefault="00A36537" w:rsidP="00A36537">
      <w:pPr>
        <w:numPr>
          <w:ilvl w:val="0"/>
          <w:numId w:val="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29 </w:t>
      </w:r>
      <w:proofErr w:type="spellStart"/>
      <w:r w:rsidRPr="00A36537">
        <w:rPr>
          <w:rFonts w:ascii="EHUSans" w:eastAsia="Times New Roman" w:hAnsi="EHUSans"/>
          <w:sz w:val="24"/>
          <w:szCs w:val="24"/>
          <w:lang w:eastAsia="es-ES"/>
        </w:rPr>
        <w:t>March</w:t>
      </w:r>
      <w:proofErr w:type="spellEnd"/>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Commission endorses Sweden's €3.3 billion recovery and resilience plan</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adopted a </w:t>
      </w:r>
      <w:hyperlink r:id="rId12" w:history="1">
        <w:r w:rsidRPr="00A36537">
          <w:rPr>
            <w:rFonts w:ascii="EHUSans" w:eastAsia="Times New Roman" w:hAnsi="EHUSans"/>
            <w:color w:val="0000FF"/>
            <w:sz w:val="24"/>
            <w:szCs w:val="24"/>
            <w:u w:val="single"/>
            <w:lang w:val="en-US" w:eastAsia="es-ES"/>
          </w:rPr>
          <w:t>positive assessment</w:t>
        </w:r>
      </w:hyperlink>
      <w:r w:rsidRPr="00A36537">
        <w:rPr>
          <w:rFonts w:ascii="EHUSans" w:eastAsia="Times New Roman" w:hAnsi="EHUSans"/>
          <w:sz w:val="24"/>
          <w:szCs w:val="24"/>
          <w:lang w:val="en-US" w:eastAsia="es-ES"/>
        </w:rPr>
        <w:t xml:space="preserve"> of Sweden's recovery and resilience plan. This is a key step paving the way for the EU to disburse €3.3 billion in grants to Sweden under the Recovery and Resilience Facility. This financing will support the implementation of the crucial investment and reform measures outlined in Sweden's recovery and resilience plan. It will play a crucial role in enabling Sweden to emerge stronger from the coronavirus pandemic. </w:t>
      </w:r>
    </w:p>
    <w:p w:rsidR="00A36537" w:rsidRPr="00A36537" w:rsidRDefault="00A36537" w:rsidP="00A36537">
      <w:pPr>
        <w:numPr>
          <w:ilvl w:val="0"/>
          <w:numId w:val="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24 </w:t>
      </w:r>
      <w:proofErr w:type="spellStart"/>
      <w:r w:rsidRPr="00A36537">
        <w:rPr>
          <w:rFonts w:ascii="EHUSans" w:eastAsia="Times New Roman" w:hAnsi="EHUSans"/>
          <w:sz w:val="24"/>
          <w:szCs w:val="24"/>
          <w:lang w:eastAsia="es-ES"/>
        </w:rPr>
        <w:t>March</w:t>
      </w:r>
      <w:proofErr w:type="spellEnd"/>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proofErr w:type="gramStart"/>
      <w:r w:rsidRPr="00A36537">
        <w:rPr>
          <w:rFonts w:ascii="EHUSans" w:eastAsia="Times New Roman" w:hAnsi="EHUSans"/>
          <w:b/>
          <w:bCs/>
          <w:sz w:val="24"/>
          <w:szCs w:val="24"/>
          <w:lang w:val="en-US" w:eastAsia="es-ES"/>
        </w:rPr>
        <w:t>SURE:</w:t>
      </w:r>
      <w:proofErr w:type="gramEnd"/>
      <w:r w:rsidRPr="00A36537">
        <w:rPr>
          <w:rFonts w:ascii="EHUSans" w:eastAsia="Times New Roman" w:hAnsi="EHUSans"/>
          <w:b/>
          <w:bCs/>
          <w:sz w:val="24"/>
          <w:szCs w:val="24"/>
          <w:lang w:val="en-US" w:eastAsia="es-ES"/>
        </w:rPr>
        <w:t xml:space="preserve"> Third report shows continued success in protecting jobs and supporting recovery</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published its third bi-annual </w:t>
      </w:r>
      <w:hyperlink r:id="rId13" w:history="1">
        <w:r w:rsidRPr="00A36537">
          <w:rPr>
            <w:rFonts w:ascii="EHUSans" w:eastAsia="Times New Roman" w:hAnsi="EHUSans"/>
            <w:color w:val="0000FF"/>
            <w:sz w:val="24"/>
            <w:szCs w:val="24"/>
            <w:u w:val="single"/>
            <w:lang w:val="en-US" w:eastAsia="es-ES"/>
          </w:rPr>
          <w:t>report on the implementation and impact of SURE</w:t>
        </w:r>
      </w:hyperlink>
      <w:r w:rsidRPr="00A36537">
        <w:rPr>
          <w:rFonts w:ascii="EHUSans" w:eastAsia="Times New Roman" w:hAnsi="EHUSans"/>
          <w:sz w:val="24"/>
          <w:szCs w:val="24"/>
          <w:lang w:val="en-US" w:eastAsia="es-ES"/>
        </w:rPr>
        <w:t>, the €100 billion instrument designed to protect jobs and incomes affected by the COVID-19 pandemic. The report confirmed that SURE has been successful in cushioning the impact of the pandemic and supporting the recovery in 2021.</w:t>
      </w:r>
    </w:p>
    <w:p w:rsidR="00A36537" w:rsidRPr="00A36537" w:rsidRDefault="00A36537" w:rsidP="00A36537">
      <w:pPr>
        <w:numPr>
          <w:ilvl w:val="0"/>
          <w:numId w:val="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22 </w:t>
      </w:r>
      <w:proofErr w:type="spellStart"/>
      <w:r w:rsidRPr="00A36537">
        <w:rPr>
          <w:rFonts w:ascii="EHUSans" w:eastAsia="Times New Roman" w:hAnsi="EHUSans"/>
          <w:sz w:val="24"/>
          <w:szCs w:val="24"/>
          <w:lang w:eastAsia="es-ES"/>
        </w:rPr>
        <w:t>March</w:t>
      </w:r>
      <w:proofErr w:type="spellEnd"/>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Commission completes the second successful bond issuance in 2022</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raised a further €10 billion in </w:t>
      </w:r>
      <w:proofErr w:type="spellStart"/>
      <w:r w:rsidRPr="00A36537">
        <w:rPr>
          <w:rFonts w:ascii="EHUSans" w:eastAsia="Times New Roman" w:hAnsi="EHUSans"/>
          <w:sz w:val="24"/>
          <w:szCs w:val="24"/>
          <w:lang w:val="en-US" w:eastAsia="es-ES"/>
        </w:rPr>
        <w:t>NextGenerationEU</w:t>
      </w:r>
      <w:proofErr w:type="spellEnd"/>
      <w:r w:rsidRPr="00A36537">
        <w:rPr>
          <w:rFonts w:ascii="EHUSans" w:eastAsia="Times New Roman" w:hAnsi="EHUSans"/>
          <w:sz w:val="24"/>
          <w:szCs w:val="24"/>
          <w:lang w:val="en-US" w:eastAsia="es-ES"/>
        </w:rPr>
        <w:t xml:space="preserve"> funds through its second bond syndication of 2022. The 10-year bond, due on 06 July 2032, brings the total financing raised under the </w:t>
      </w:r>
      <w:proofErr w:type="spellStart"/>
      <w:r w:rsidRPr="00A36537">
        <w:rPr>
          <w:rFonts w:ascii="EHUSans" w:eastAsia="Times New Roman" w:hAnsi="EHUSans"/>
          <w:sz w:val="24"/>
          <w:szCs w:val="24"/>
          <w:lang w:val="en-US" w:eastAsia="es-ES"/>
        </w:rPr>
        <w:t>programme</w:t>
      </w:r>
      <w:proofErr w:type="spellEnd"/>
      <w:r w:rsidRPr="00A36537">
        <w:rPr>
          <w:rFonts w:ascii="EHUSans" w:eastAsia="Times New Roman" w:hAnsi="EHUSans"/>
          <w:sz w:val="24"/>
          <w:szCs w:val="24"/>
          <w:lang w:val="en-US" w:eastAsia="es-ES"/>
        </w:rPr>
        <w:t xml:space="preserve"> to €91 billion. This placement will continue to support Europe's economic </w:t>
      </w:r>
      <w:r w:rsidRPr="00A36537">
        <w:rPr>
          <w:rFonts w:ascii="EHUSans" w:eastAsia="Times New Roman" w:hAnsi="EHUSans"/>
          <w:sz w:val="24"/>
          <w:szCs w:val="24"/>
          <w:lang w:val="en-US" w:eastAsia="es-ES"/>
        </w:rPr>
        <w:lastRenderedPageBreak/>
        <w:t xml:space="preserve">recovery under the Recovery and Resilience Facility and the other EU-budget </w:t>
      </w:r>
      <w:proofErr w:type="spellStart"/>
      <w:r w:rsidRPr="00A36537">
        <w:rPr>
          <w:rFonts w:ascii="EHUSans" w:eastAsia="Times New Roman" w:hAnsi="EHUSans"/>
          <w:sz w:val="24"/>
          <w:szCs w:val="24"/>
          <w:lang w:val="en-US" w:eastAsia="es-ES"/>
        </w:rPr>
        <w:t>programmes</w:t>
      </w:r>
      <w:proofErr w:type="spellEnd"/>
      <w:r w:rsidRPr="00A36537">
        <w:rPr>
          <w:rFonts w:ascii="EHUSans" w:eastAsia="Times New Roman" w:hAnsi="EHUSans"/>
          <w:sz w:val="24"/>
          <w:szCs w:val="24"/>
          <w:lang w:val="en-US" w:eastAsia="es-ES"/>
        </w:rPr>
        <w:t xml:space="preserve"> funded through </w:t>
      </w:r>
      <w:proofErr w:type="spellStart"/>
      <w:r w:rsidRPr="00A36537">
        <w:rPr>
          <w:rFonts w:ascii="EHUSans" w:eastAsia="Times New Roman" w:hAnsi="EHUSans"/>
          <w:sz w:val="24"/>
          <w:szCs w:val="24"/>
          <w:lang w:val="en-US" w:eastAsia="es-ES"/>
        </w:rPr>
        <w:t>NextGenerationEU</w:t>
      </w:r>
      <w:proofErr w:type="spellEnd"/>
      <w:r w:rsidRPr="00A36537">
        <w:rPr>
          <w:rFonts w:ascii="EHUSans" w:eastAsia="Times New Roman" w:hAnsi="EHUSans"/>
          <w:sz w:val="24"/>
          <w:szCs w:val="24"/>
          <w:lang w:val="en-US" w:eastAsia="es-ES"/>
        </w:rPr>
        <w:t>.</w:t>
      </w:r>
    </w:p>
    <w:p w:rsidR="00A36537" w:rsidRPr="00A36537" w:rsidRDefault="00A36537" w:rsidP="00A36537">
      <w:pPr>
        <w:numPr>
          <w:ilvl w:val="0"/>
          <w:numId w:val="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1 </w:t>
      </w:r>
      <w:proofErr w:type="spellStart"/>
      <w:r w:rsidRPr="00A36537">
        <w:rPr>
          <w:rFonts w:ascii="EHUSans" w:eastAsia="Times New Roman" w:hAnsi="EHUSans"/>
          <w:sz w:val="24"/>
          <w:szCs w:val="24"/>
          <w:lang w:eastAsia="es-ES"/>
        </w:rPr>
        <w:t>March</w:t>
      </w:r>
      <w:proofErr w:type="spellEnd"/>
      <w:r w:rsidRPr="00A36537">
        <w:rPr>
          <w:rFonts w:ascii="EHUSans" w:eastAsia="Times New Roman" w:hAnsi="EHUSans"/>
          <w:sz w:val="24"/>
          <w:szCs w:val="24"/>
          <w:lang w:eastAsia="es-ES"/>
        </w:rPr>
        <w:t xml:space="preserve"> </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First annual report on the Recovery and Resilience Facility finds implementation is well underway</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adopted its first annual </w:t>
      </w:r>
      <w:r w:rsidR="00B33016">
        <w:fldChar w:fldCharType="begin"/>
      </w:r>
      <w:r w:rsidR="00B33016" w:rsidRPr="00B33016">
        <w:rPr>
          <w:lang w:val="en-US"/>
        </w:rPr>
        <w:instrText xml:space="preserve"> HYPERLINK "https://ec.europa.eu/commission/presscorner/detail/en/ip_22_1198" </w:instrText>
      </w:r>
      <w:r w:rsidR="00B33016">
        <w:fldChar w:fldCharType="separate"/>
      </w:r>
      <w:r w:rsidRPr="00A36537">
        <w:rPr>
          <w:rFonts w:ascii="EHUSans" w:eastAsia="Times New Roman" w:hAnsi="EHUSans"/>
          <w:color w:val="0000FF"/>
          <w:sz w:val="24"/>
          <w:szCs w:val="24"/>
          <w:u w:val="single"/>
          <w:lang w:val="en-US" w:eastAsia="es-ES"/>
        </w:rPr>
        <w:t>report on the implementation of the Recovery and Resilience Facility (RRF)</w:t>
      </w:r>
      <w:r w:rsidR="00B33016">
        <w:rPr>
          <w:rFonts w:ascii="EHUSans" w:eastAsia="Times New Roman" w:hAnsi="EHUSans"/>
          <w:color w:val="0000FF"/>
          <w:sz w:val="24"/>
          <w:szCs w:val="24"/>
          <w:u w:val="single"/>
          <w:lang w:val="en-US" w:eastAsia="es-ES"/>
        </w:rPr>
        <w:fldChar w:fldCharType="end"/>
      </w:r>
      <w:r w:rsidRPr="00A36537">
        <w:rPr>
          <w:rFonts w:ascii="EHUSans" w:eastAsia="Times New Roman" w:hAnsi="EHUSans"/>
          <w:sz w:val="24"/>
          <w:szCs w:val="24"/>
          <w:lang w:val="en-US" w:eastAsia="es-ES"/>
        </w:rPr>
        <w:t xml:space="preserve">, the </w:t>
      </w:r>
      <w:proofErr w:type="spellStart"/>
      <w:r w:rsidRPr="00A36537">
        <w:rPr>
          <w:rFonts w:ascii="EHUSans" w:eastAsia="Times New Roman" w:hAnsi="EHUSans"/>
          <w:sz w:val="24"/>
          <w:szCs w:val="24"/>
          <w:lang w:val="en-US" w:eastAsia="es-ES"/>
        </w:rPr>
        <w:t>centrepiece</w:t>
      </w:r>
      <w:proofErr w:type="spellEnd"/>
      <w:r w:rsidRPr="00A36537">
        <w:rPr>
          <w:rFonts w:ascii="EHUSans" w:eastAsia="Times New Roman" w:hAnsi="EHUSans"/>
          <w:sz w:val="24"/>
          <w:szCs w:val="24"/>
          <w:lang w:val="en-US" w:eastAsia="es-ES"/>
        </w:rPr>
        <w:t xml:space="preserve"> of </w:t>
      </w:r>
      <w:proofErr w:type="spellStart"/>
      <w:r w:rsidRPr="00A36537">
        <w:rPr>
          <w:rFonts w:ascii="EHUSans" w:eastAsia="Times New Roman" w:hAnsi="EHUSans"/>
          <w:sz w:val="24"/>
          <w:szCs w:val="24"/>
          <w:lang w:val="en-US" w:eastAsia="es-ES"/>
        </w:rPr>
        <w:t>NextGenerationEU</w:t>
      </w:r>
      <w:proofErr w:type="spellEnd"/>
      <w:r w:rsidRPr="00A36537">
        <w:rPr>
          <w:rFonts w:ascii="EHUSans" w:eastAsia="Times New Roman" w:hAnsi="EHUSans"/>
          <w:sz w:val="24"/>
          <w:szCs w:val="24"/>
          <w:lang w:val="en-US" w:eastAsia="es-ES"/>
        </w:rPr>
        <w:t xml:space="preserve">. The RRF is providing up to €723.8 billion of grants and loans to Member States to support transformative investments and reforms that will enable the EU to emerge stronger from the COVID-19 pandemic. The report shows that major headway </w:t>
      </w:r>
      <w:proofErr w:type="gramStart"/>
      <w:r w:rsidRPr="00A36537">
        <w:rPr>
          <w:rFonts w:ascii="EHUSans" w:eastAsia="Times New Roman" w:hAnsi="EHUSans"/>
          <w:sz w:val="24"/>
          <w:szCs w:val="24"/>
          <w:lang w:val="en-US" w:eastAsia="es-ES"/>
        </w:rPr>
        <w:t>has been made</w:t>
      </w:r>
      <w:proofErr w:type="gramEnd"/>
      <w:r w:rsidRPr="00A36537">
        <w:rPr>
          <w:rFonts w:ascii="EHUSans" w:eastAsia="Times New Roman" w:hAnsi="EHUSans"/>
          <w:sz w:val="24"/>
          <w:szCs w:val="24"/>
          <w:lang w:val="en-US" w:eastAsia="es-ES"/>
        </w:rPr>
        <w:t xml:space="preserve"> and confirms that the implementation of the RRF is well underway.</w:t>
      </w:r>
    </w:p>
    <w:p w:rsidR="00A36537" w:rsidRPr="00A36537" w:rsidRDefault="00A36537" w:rsidP="00A36537">
      <w:pPr>
        <w:spacing w:before="100" w:beforeAutospacing="1" w:after="100" w:afterAutospacing="1"/>
        <w:outlineLvl w:val="1"/>
        <w:rPr>
          <w:rFonts w:ascii="EHUSans" w:eastAsia="Times New Roman" w:hAnsi="EHUSans"/>
          <w:b/>
          <w:bCs/>
          <w:sz w:val="36"/>
          <w:szCs w:val="36"/>
          <w:lang w:val="en" w:eastAsia="es-ES"/>
        </w:rPr>
      </w:pPr>
      <w:r w:rsidRPr="00A36537">
        <w:rPr>
          <w:rFonts w:ascii="EHUSans" w:eastAsia="Times New Roman" w:hAnsi="EHUSans"/>
          <w:b/>
          <w:bCs/>
          <w:sz w:val="36"/>
          <w:szCs w:val="36"/>
          <w:lang w:val="en" w:eastAsia="es-ES"/>
        </w:rPr>
        <w:t>February 2022</w:t>
      </w:r>
    </w:p>
    <w:p w:rsidR="00A36537" w:rsidRPr="00A36537" w:rsidRDefault="00A36537" w:rsidP="00A36537">
      <w:pPr>
        <w:numPr>
          <w:ilvl w:val="0"/>
          <w:numId w:val="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10 </w:t>
      </w:r>
      <w:proofErr w:type="spellStart"/>
      <w:r w:rsidRPr="00A36537">
        <w:rPr>
          <w:rFonts w:ascii="EHUSans" w:eastAsia="Times New Roman" w:hAnsi="EHUSans"/>
          <w:sz w:val="24"/>
          <w:szCs w:val="24"/>
          <w:lang w:eastAsia="es-ES"/>
        </w:rPr>
        <w:t>February</w:t>
      </w:r>
      <w:proofErr w:type="spellEnd"/>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HERA launches first work plan with €1.3 billion for preparedness and response to health emergencies in 2022</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new European Health Emergency Preparedness and Response Authority (HERA) presented its first annual </w:t>
      </w:r>
      <w:hyperlink r:id="rId14" w:history="1">
        <w:r w:rsidRPr="00A36537">
          <w:rPr>
            <w:rFonts w:ascii="EHUSans" w:eastAsia="Times New Roman" w:hAnsi="EHUSans"/>
            <w:color w:val="0000FF"/>
            <w:sz w:val="24"/>
            <w:szCs w:val="24"/>
            <w:u w:val="single"/>
            <w:lang w:val="en-US" w:eastAsia="es-ES"/>
          </w:rPr>
          <w:t>work plan</w:t>
        </w:r>
      </w:hyperlink>
      <w:r w:rsidRPr="00A36537">
        <w:rPr>
          <w:rFonts w:ascii="EHUSans" w:eastAsia="Times New Roman" w:hAnsi="EHUSans"/>
          <w:sz w:val="24"/>
          <w:szCs w:val="24"/>
          <w:lang w:val="en-US" w:eastAsia="es-ES"/>
        </w:rPr>
        <w:t>, which will have a budget of €1.3 billion in 2022 to prevent, prepare for and rapidly respond to cross-border health emergencies.</w:t>
      </w:r>
    </w:p>
    <w:p w:rsidR="00A36537" w:rsidRPr="00A36537" w:rsidRDefault="00A36537" w:rsidP="00A36537">
      <w:pPr>
        <w:numPr>
          <w:ilvl w:val="0"/>
          <w:numId w:val="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8 </w:t>
      </w:r>
      <w:proofErr w:type="spellStart"/>
      <w:r w:rsidRPr="00A36537">
        <w:rPr>
          <w:rFonts w:ascii="EHUSans" w:eastAsia="Times New Roman" w:hAnsi="EHUSans"/>
          <w:sz w:val="24"/>
          <w:szCs w:val="24"/>
          <w:lang w:eastAsia="es-ES"/>
        </w:rPr>
        <w:t>February</w:t>
      </w:r>
      <w:proofErr w:type="spellEnd"/>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Commission raises an additional €5 billion in support for Europe's recovery</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In its first bond syndication of 2022, the Commission raised a </w:t>
      </w:r>
      <w:hyperlink r:id="rId15" w:history="1">
        <w:r w:rsidRPr="00A36537">
          <w:rPr>
            <w:rFonts w:ascii="EHUSans" w:eastAsia="Times New Roman" w:hAnsi="EHUSans"/>
            <w:color w:val="0000FF"/>
            <w:sz w:val="24"/>
            <w:szCs w:val="24"/>
            <w:u w:val="single"/>
            <w:lang w:val="en-US" w:eastAsia="es-ES"/>
          </w:rPr>
          <w:t>further €5 billion</w:t>
        </w:r>
      </w:hyperlink>
      <w:r w:rsidRPr="00A36537">
        <w:rPr>
          <w:rFonts w:ascii="EHUSans" w:eastAsia="Times New Roman" w:hAnsi="EHUSans"/>
          <w:sz w:val="24"/>
          <w:szCs w:val="24"/>
          <w:lang w:val="en-US" w:eastAsia="es-ES"/>
        </w:rPr>
        <w:t xml:space="preserve"> in </w:t>
      </w:r>
      <w:proofErr w:type="spellStart"/>
      <w:r w:rsidRPr="00A36537">
        <w:rPr>
          <w:rFonts w:ascii="EHUSans" w:eastAsia="Times New Roman" w:hAnsi="EHUSans"/>
          <w:sz w:val="24"/>
          <w:szCs w:val="24"/>
          <w:lang w:val="en-US" w:eastAsia="es-ES"/>
        </w:rPr>
        <w:t>NextGenerationEU</w:t>
      </w:r>
      <w:proofErr w:type="spellEnd"/>
      <w:r w:rsidRPr="00A36537">
        <w:rPr>
          <w:rFonts w:ascii="EHUSans" w:eastAsia="Times New Roman" w:hAnsi="EHUSans"/>
          <w:sz w:val="24"/>
          <w:szCs w:val="24"/>
          <w:lang w:val="en-US" w:eastAsia="es-ES"/>
        </w:rPr>
        <w:t xml:space="preserve"> funds on behalf of the EU in yet another successful deal. Due on 6 July 2051, the 30-year bond – executed as an increase to an existing EU-Bond - brings the total financing raised under the </w:t>
      </w:r>
      <w:proofErr w:type="spellStart"/>
      <w:r w:rsidRPr="00A36537">
        <w:rPr>
          <w:rFonts w:ascii="EHUSans" w:eastAsia="Times New Roman" w:hAnsi="EHUSans"/>
          <w:sz w:val="24"/>
          <w:szCs w:val="24"/>
          <w:lang w:val="en-US" w:eastAsia="es-ES"/>
        </w:rPr>
        <w:t>programme</w:t>
      </w:r>
      <w:proofErr w:type="spellEnd"/>
      <w:r w:rsidRPr="00A36537">
        <w:rPr>
          <w:rFonts w:ascii="EHUSans" w:eastAsia="Times New Roman" w:hAnsi="EHUSans"/>
          <w:sz w:val="24"/>
          <w:szCs w:val="24"/>
          <w:lang w:val="en-US" w:eastAsia="es-ES"/>
        </w:rPr>
        <w:t xml:space="preserve"> to €78.5 billion. The Commission's successful placement will help sustain the momentum behind Europe's recovery from the COVID-19 pandemic.</w:t>
      </w:r>
    </w:p>
    <w:p w:rsidR="00A36537" w:rsidRPr="00A36537" w:rsidRDefault="00A36537" w:rsidP="00A36537">
      <w:pPr>
        <w:numPr>
          <w:ilvl w:val="0"/>
          <w:numId w:val="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3 </w:t>
      </w:r>
      <w:proofErr w:type="spellStart"/>
      <w:r w:rsidRPr="00A36537">
        <w:rPr>
          <w:rFonts w:ascii="EHUSans" w:eastAsia="Times New Roman" w:hAnsi="EHUSans"/>
          <w:sz w:val="24"/>
          <w:szCs w:val="24"/>
          <w:lang w:eastAsia="es-ES"/>
        </w:rPr>
        <w:t>February</w:t>
      </w:r>
      <w:proofErr w:type="spellEnd"/>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Commission proposes to extend the EU Digital COVID Certificate by one year</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proposed to extend the </w:t>
      </w:r>
      <w:hyperlink r:id="rId16" w:history="1">
        <w:r w:rsidRPr="00A36537">
          <w:rPr>
            <w:rFonts w:ascii="EHUSans" w:eastAsia="Times New Roman" w:hAnsi="EHUSans"/>
            <w:color w:val="0000FF"/>
            <w:sz w:val="24"/>
            <w:szCs w:val="24"/>
            <w:u w:val="single"/>
            <w:lang w:val="en-US" w:eastAsia="es-ES"/>
          </w:rPr>
          <w:t>EU Digital COVID Certificate</w:t>
        </w:r>
      </w:hyperlink>
      <w:r w:rsidRPr="00A36537">
        <w:rPr>
          <w:rFonts w:ascii="EHUSans" w:eastAsia="Times New Roman" w:hAnsi="EHUSans"/>
          <w:sz w:val="24"/>
          <w:szCs w:val="24"/>
          <w:lang w:val="en-US" w:eastAsia="es-ES"/>
        </w:rPr>
        <w:t xml:space="preserve"> by a year, until 30 June 2023. Extending the Regulation will ensure that </w:t>
      </w:r>
      <w:proofErr w:type="spellStart"/>
      <w:r w:rsidRPr="00A36537">
        <w:rPr>
          <w:rFonts w:ascii="EHUSans" w:eastAsia="Times New Roman" w:hAnsi="EHUSans"/>
          <w:sz w:val="24"/>
          <w:szCs w:val="24"/>
          <w:lang w:val="en-US" w:eastAsia="es-ES"/>
        </w:rPr>
        <w:lastRenderedPageBreak/>
        <w:t>travellers</w:t>
      </w:r>
      <w:proofErr w:type="spellEnd"/>
      <w:r w:rsidRPr="00A36537">
        <w:rPr>
          <w:rFonts w:ascii="EHUSans" w:eastAsia="Times New Roman" w:hAnsi="EHUSans"/>
          <w:sz w:val="24"/>
          <w:szCs w:val="24"/>
          <w:lang w:val="en-US" w:eastAsia="es-ES"/>
        </w:rPr>
        <w:t xml:space="preserve"> can continue using their EU Digital COVID Certificate when travelling in the EU where Member States maintain certain public health measures.</w:t>
      </w:r>
    </w:p>
    <w:p w:rsidR="00A36537" w:rsidRPr="00A36537" w:rsidRDefault="00A36537" w:rsidP="00A36537">
      <w:pPr>
        <w:spacing w:before="100" w:beforeAutospacing="1" w:after="100" w:afterAutospacing="1"/>
        <w:outlineLvl w:val="1"/>
        <w:rPr>
          <w:rFonts w:ascii="EHUSans" w:eastAsia="Times New Roman" w:hAnsi="EHUSans"/>
          <w:b/>
          <w:bCs/>
          <w:sz w:val="36"/>
          <w:szCs w:val="36"/>
          <w:lang w:val="en" w:eastAsia="es-ES"/>
        </w:rPr>
      </w:pPr>
      <w:r w:rsidRPr="00A36537">
        <w:rPr>
          <w:rFonts w:ascii="EHUSans" w:eastAsia="Times New Roman" w:hAnsi="EHUSans"/>
          <w:b/>
          <w:bCs/>
          <w:sz w:val="36"/>
          <w:szCs w:val="36"/>
          <w:lang w:val="en" w:eastAsia="es-ES"/>
        </w:rPr>
        <w:t>January 2022</w:t>
      </w:r>
    </w:p>
    <w:p w:rsidR="00A36537" w:rsidRPr="00A36537" w:rsidRDefault="00A36537" w:rsidP="00A36537">
      <w:pPr>
        <w:numPr>
          <w:ilvl w:val="0"/>
          <w:numId w:val="10"/>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25 </w:t>
      </w:r>
      <w:proofErr w:type="spellStart"/>
      <w:r w:rsidRPr="00A36537">
        <w:rPr>
          <w:rFonts w:ascii="EHUSans" w:eastAsia="Times New Roman" w:hAnsi="EHUSans"/>
          <w:sz w:val="24"/>
          <w:szCs w:val="24"/>
          <w:lang w:eastAsia="es-ES"/>
        </w:rPr>
        <w:t>January</w:t>
      </w:r>
      <w:proofErr w:type="spellEnd"/>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European Health Union: a stronger role for the European Medicines Agency</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As part of the on-going work to build a strong European Health Union, the Council adopted the Regulation </w:t>
      </w:r>
      <w:hyperlink r:id="rId17" w:history="1">
        <w:r w:rsidRPr="00A36537">
          <w:rPr>
            <w:rFonts w:ascii="EHUSans" w:eastAsia="Times New Roman" w:hAnsi="EHUSans"/>
            <w:color w:val="0000FF"/>
            <w:sz w:val="24"/>
            <w:szCs w:val="24"/>
            <w:u w:val="single"/>
            <w:lang w:val="en-US" w:eastAsia="es-ES"/>
          </w:rPr>
          <w:t>revising the mandate</w:t>
        </w:r>
      </w:hyperlink>
      <w:r w:rsidRPr="00A36537">
        <w:rPr>
          <w:rFonts w:ascii="EHUSans" w:eastAsia="Times New Roman" w:hAnsi="EHUSans"/>
          <w:sz w:val="24"/>
          <w:szCs w:val="24"/>
          <w:lang w:val="en-US" w:eastAsia="es-ES"/>
        </w:rPr>
        <w:t xml:space="preserve"> of the European Medicines Agency (EMA), taking an important step towards EMA's reinforcement in crisis preparedness and management for medicinal products and medical devices.</w:t>
      </w:r>
    </w:p>
    <w:p w:rsidR="00A36537" w:rsidRPr="00A36537" w:rsidRDefault="00A36537" w:rsidP="00A36537">
      <w:pPr>
        <w:numPr>
          <w:ilvl w:val="0"/>
          <w:numId w:val="10"/>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21 </w:t>
      </w:r>
      <w:proofErr w:type="spellStart"/>
      <w:r w:rsidRPr="00A36537">
        <w:rPr>
          <w:rFonts w:ascii="EHUSans" w:eastAsia="Times New Roman" w:hAnsi="EHUSans"/>
          <w:sz w:val="24"/>
          <w:szCs w:val="24"/>
          <w:lang w:eastAsia="es-ES"/>
        </w:rPr>
        <w:t>January</w:t>
      </w:r>
      <w:proofErr w:type="spellEnd"/>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val="en-US" w:eastAsia="es-ES"/>
        </w:rPr>
      </w:pPr>
      <w:r w:rsidRPr="00A36537">
        <w:rPr>
          <w:rFonts w:ascii="EHUSans" w:eastAsia="Times New Roman" w:hAnsi="EHUSans"/>
          <w:b/>
          <w:bCs/>
          <w:sz w:val="24"/>
          <w:szCs w:val="24"/>
          <w:lang w:val="en-US" w:eastAsia="es-ES"/>
        </w:rPr>
        <w:t>Commission disburses €271 million in pre-financing to Finland</w:t>
      </w:r>
    </w:p>
    <w:p w:rsidR="00A36537" w:rsidRPr="00A36537" w:rsidRDefault="00A36537" w:rsidP="00A36537">
      <w:pPr>
        <w:spacing w:before="100" w:beforeAutospacing="1" w:after="100" w:afterAutospacing="1"/>
        <w:ind w:left="720"/>
        <w:rPr>
          <w:rFonts w:ascii="EHUSans" w:eastAsia="Times New Roman" w:hAnsi="EHUSans"/>
          <w:sz w:val="24"/>
          <w:szCs w:val="24"/>
          <w:lang w:val="en-US" w:eastAsia="es-ES"/>
        </w:rPr>
      </w:pPr>
      <w:r w:rsidRPr="00A36537">
        <w:rPr>
          <w:rFonts w:ascii="EHUSans" w:eastAsia="Times New Roman" w:hAnsi="EHUSans"/>
          <w:sz w:val="24"/>
          <w:szCs w:val="24"/>
          <w:lang w:val="en-US" w:eastAsia="es-ES"/>
        </w:rPr>
        <w:t xml:space="preserve">The Commission </w:t>
      </w:r>
      <w:hyperlink r:id="rId18" w:history="1">
        <w:r w:rsidRPr="00A36537">
          <w:rPr>
            <w:rFonts w:ascii="EHUSans" w:eastAsia="Times New Roman" w:hAnsi="EHUSans"/>
            <w:color w:val="0000FF"/>
            <w:sz w:val="24"/>
            <w:szCs w:val="24"/>
            <w:u w:val="single"/>
            <w:lang w:val="en-US" w:eastAsia="es-ES"/>
          </w:rPr>
          <w:t>disbursed €271 million</w:t>
        </w:r>
      </w:hyperlink>
      <w:r w:rsidRPr="00A36537">
        <w:rPr>
          <w:rFonts w:ascii="EHUSans" w:eastAsia="Times New Roman" w:hAnsi="EHUSans"/>
          <w:sz w:val="24"/>
          <w:szCs w:val="24"/>
          <w:lang w:val="en-US" w:eastAsia="es-ES"/>
        </w:rPr>
        <w:t xml:space="preserve"> to Finland in pre-financing, equivalent to 13% of the country's financial allocation under the Recovery and Resilience Facility. The pre-financing payment will help kick-start the implementation of the crucial investment and reform measures outlined in Finland's recovery and resilience plan.</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Diciembre de 2021</w:t>
      </w:r>
    </w:p>
    <w:p w:rsidR="00A36537" w:rsidRPr="00A36537" w:rsidRDefault="00A36537" w:rsidP="00A36537">
      <w:pPr>
        <w:numPr>
          <w:ilvl w:val="0"/>
          <w:numId w:val="1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 de diciembre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entrega 1 800 millones de euros a Rumanía en concepto de prefinanciación</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entregó </w:t>
      </w:r>
      <w:hyperlink r:id="rId19" w:history="1">
        <w:r w:rsidRPr="00A36537">
          <w:rPr>
            <w:rFonts w:ascii="EHUSans" w:eastAsia="Times New Roman" w:hAnsi="EHUSans"/>
            <w:color w:val="0000FF"/>
            <w:sz w:val="24"/>
            <w:szCs w:val="24"/>
            <w:u w:val="single"/>
            <w:lang w:eastAsia="es-ES"/>
          </w:rPr>
          <w:t>1 800 millones de euros a Rumanía</w:t>
        </w:r>
      </w:hyperlink>
      <w:r w:rsidRPr="00A36537">
        <w:rPr>
          <w:rFonts w:ascii="EHUSans" w:eastAsia="Times New Roman" w:hAnsi="EHUSans"/>
          <w:sz w:val="24"/>
          <w:szCs w:val="24"/>
          <w:lang w:eastAsia="es-ES"/>
        </w:rPr>
        <w:t xml:space="preserve"> en concepto de prefinanciación, lo que equivale al 13 % de la asignación de subvención de ese país en el marco del Mecanismo de Recuperación y Resiliencia. El pago de la prefinanciación contribuirá a activar la ejecución de las medidas de inversión y reforma indicadas en el plan de recuperación y resiliencia de Rumanía.</w:t>
      </w:r>
    </w:p>
    <w:p w:rsidR="00A36537" w:rsidRPr="00A36537" w:rsidRDefault="00A36537" w:rsidP="00A36537">
      <w:pPr>
        <w:numPr>
          <w:ilvl w:val="0"/>
          <w:numId w:val="1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 de diciembre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La Comisión reitera su llamamiento para acelerar la vacunación, utilizar rápidamente las dosis de refuerzo, mantener la vigilancia y reaccionar con prontitud contra la variante </w:t>
      </w:r>
      <w:proofErr w:type="spellStart"/>
      <w:r w:rsidRPr="00A36537">
        <w:rPr>
          <w:rFonts w:ascii="EHUSans" w:eastAsia="Times New Roman" w:hAnsi="EHUSans"/>
          <w:b/>
          <w:bCs/>
          <w:sz w:val="24"/>
          <w:szCs w:val="24"/>
          <w:lang w:eastAsia="es-ES"/>
        </w:rPr>
        <w:t>ómicron</w:t>
      </w:r>
      <w:proofErr w:type="spellEnd"/>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lastRenderedPageBreak/>
        <w:t xml:space="preserve">La Comisión propuso un </w:t>
      </w:r>
      <w:hyperlink r:id="rId20" w:history="1">
        <w:r w:rsidRPr="00A36537">
          <w:rPr>
            <w:rFonts w:ascii="EHUSans" w:eastAsia="Times New Roman" w:hAnsi="EHUSans"/>
            <w:color w:val="0000FF"/>
            <w:sz w:val="24"/>
            <w:szCs w:val="24"/>
            <w:u w:val="single"/>
            <w:lang w:eastAsia="es-ES"/>
          </w:rPr>
          <w:t>enfoque común y coordinado de la UE</w:t>
        </w:r>
      </w:hyperlink>
      <w:r w:rsidRPr="00A36537">
        <w:rPr>
          <w:rFonts w:ascii="EHUSans" w:eastAsia="Times New Roman" w:hAnsi="EHUSans"/>
          <w:sz w:val="24"/>
          <w:szCs w:val="24"/>
          <w:lang w:eastAsia="es-ES"/>
        </w:rPr>
        <w:t xml:space="preserve"> para abordar de manera eficaz los retos planteados por el repunte de la COVID-19 en muchos Estados miembros durante este otoño.</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Noviembre de 2021</w:t>
      </w:r>
    </w:p>
    <w:p w:rsidR="00A36537" w:rsidRPr="00A36537" w:rsidRDefault="00A36537" w:rsidP="00A36537">
      <w:pPr>
        <w:numPr>
          <w:ilvl w:val="0"/>
          <w:numId w:val="1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26 de noviembre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UE sustituye el mecanismo para la autorización de la exportación de vacunas contra la COVID-19 por una nueva herramienta de seguimiento</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UE no prorrogará el mecanismo de transparencia y autorización de la exportación de vacunas contra la COVID-19, que expira el 31 de diciembre de 2021. Esto significa que, a partir del 1 de enero de 2022, los productores de vacunas ya no tendrán que solicitar autorización para exportar vacunas fuera de la UE. Se seguirá garantizando la transparencia de las exportaciones gracias a </w:t>
      </w:r>
      <w:hyperlink r:id="rId21" w:history="1">
        <w:r w:rsidRPr="00A36537">
          <w:rPr>
            <w:rFonts w:ascii="EHUSans" w:eastAsia="Times New Roman" w:hAnsi="EHUSans"/>
            <w:color w:val="0000FF"/>
            <w:sz w:val="24"/>
            <w:szCs w:val="24"/>
            <w:u w:val="single"/>
            <w:lang w:eastAsia="es-ES"/>
          </w:rPr>
          <w:t>un nuevo mecanismo de seguimiento</w:t>
        </w:r>
      </w:hyperlink>
      <w:r w:rsidRPr="00A36537">
        <w:rPr>
          <w:rFonts w:ascii="EHUSans" w:eastAsia="Times New Roman" w:hAnsi="EHUSans"/>
          <w:sz w:val="24"/>
          <w:szCs w:val="24"/>
          <w:lang w:eastAsia="es-ES"/>
        </w:rPr>
        <w:t xml:space="preserve"> que proporcionará a la Comisión datos oportunos sobre la exportación de vacunas desglosados por empresa.</w:t>
      </w:r>
    </w:p>
    <w:p w:rsidR="00A36537" w:rsidRPr="00A36537" w:rsidRDefault="00A36537" w:rsidP="00A36537">
      <w:pPr>
        <w:numPr>
          <w:ilvl w:val="0"/>
          <w:numId w:val="1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25 de noviembre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propone reforzar la coordinación de los viajes seguros en la UE y actualizar el marco para los viajes desde fuera de la UE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propuso </w:t>
      </w:r>
      <w:hyperlink r:id="rId22" w:history="1">
        <w:r w:rsidRPr="00A36537">
          <w:rPr>
            <w:rFonts w:ascii="EHUSans" w:eastAsia="Times New Roman" w:hAnsi="EHUSans"/>
            <w:color w:val="0000FF"/>
            <w:sz w:val="24"/>
            <w:szCs w:val="24"/>
            <w:u w:val="single"/>
            <w:lang w:eastAsia="es-ES"/>
          </w:rPr>
          <w:t>actualizar las normas</w:t>
        </w:r>
      </w:hyperlink>
      <w:r w:rsidRPr="00A36537">
        <w:rPr>
          <w:rFonts w:ascii="EHUSans" w:eastAsia="Times New Roman" w:hAnsi="EHUSans"/>
          <w:sz w:val="24"/>
          <w:szCs w:val="24"/>
          <w:lang w:eastAsia="es-ES"/>
        </w:rPr>
        <w:t xml:space="preserve"> sobre la coordinación de la circulación libre y segura en la UE establecidas en respuesta a la pandemia de COVID-19. La Comisión también propuso actualizar la recomendación del Consejo sobre los </w:t>
      </w:r>
      <w:hyperlink r:id="rId23" w:history="1">
        <w:r w:rsidRPr="00A36537">
          <w:rPr>
            <w:rFonts w:ascii="EHUSans" w:eastAsia="Times New Roman" w:hAnsi="EHUSans"/>
            <w:color w:val="0000FF"/>
            <w:sz w:val="24"/>
            <w:szCs w:val="24"/>
            <w:u w:val="single"/>
            <w:lang w:eastAsia="es-ES"/>
          </w:rPr>
          <w:t>viajes no esenciales desde fuera de la UE</w:t>
        </w:r>
      </w:hyperlink>
      <w:r w:rsidRPr="00A36537">
        <w:rPr>
          <w:rFonts w:ascii="EHUSans" w:eastAsia="Times New Roman" w:hAnsi="EHUSans"/>
          <w:sz w:val="24"/>
          <w:szCs w:val="24"/>
          <w:lang w:eastAsia="es-ES"/>
        </w:rPr>
        <w:t xml:space="preserve"> para simplificar el marco y reflejar la evolución reciente, dando prioridad a los viajeros vacunados y estableciendo estrictas salvaguardias.</w:t>
      </w:r>
    </w:p>
    <w:p w:rsidR="00A36537" w:rsidRPr="00A36537" w:rsidRDefault="00A36537" w:rsidP="00A36537">
      <w:pPr>
        <w:numPr>
          <w:ilvl w:val="0"/>
          <w:numId w:val="1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18 de noviembre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establece el futuro del Marco Temporal para apoyar la recuperación económica en el contexto de la pandemia de coronavirus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decidió prorrogar hasta el 30 de junio de 2022 el </w:t>
      </w:r>
      <w:hyperlink r:id="rId24" w:history="1">
        <w:r w:rsidRPr="00A36537">
          <w:rPr>
            <w:rFonts w:ascii="EHUSans" w:eastAsia="Times New Roman" w:hAnsi="EHUSans"/>
            <w:color w:val="0000FF"/>
            <w:sz w:val="24"/>
            <w:szCs w:val="24"/>
            <w:u w:val="single"/>
            <w:lang w:eastAsia="es-ES"/>
          </w:rPr>
          <w:t>Marco Temporal relativo a las ayudas estatales</w:t>
        </w:r>
      </w:hyperlink>
      <w:r w:rsidRPr="00A36537">
        <w:rPr>
          <w:rFonts w:ascii="EHUSans" w:eastAsia="Times New Roman" w:hAnsi="EHUSans"/>
          <w:sz w:val="24"/>
          <w:szCs w:val="24"/>
          <w:lang w:eastAsia="es-ES"/>
        </w:rPr>
        <w:t xml:space="preserve"> (cuya expiración está actualmente fijada para el 31 de diciembre de 2021). Con el fin de acelerar aún más la recuperación, la Comisión decidió también introducir dos nuevas medidas para crear incentivos directos a la inversión privada con visión de futuro y medidas de apoyo a la solvencia, durante un período limitado adicional.</w:t>
      </w:r>
    </w:p>
    <w:p w:rsidR="00A36537" w:rsidRPr="00A36537" w:rsidRDefault="00A36537" w:rsidP="00A36537">
      <w:pPr>
        <w:numPr>
          <w:ilvl w:val="0"/>
          <w:numId w:val="1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lastRenderedPageBreak/>
        <w:t>11 de noviembre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Luz verde a dos nuevas opciones terapéuticas contra la COVID-19</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Agencia Europea de Medicamentos emitió un </w:t>
      </w:r>
      <w:hyperlink r:id="rId25" w:history="1">
        <w:r w:rsidRPr="00A36537">
          <w:rPr>
            <w:rFonts w:ascii="EHUSans" w:eastAsia="Times New Roman" w:hAnsi="EHUSans"/>
            <w:color w:val="0000FF"/>
            <w:sz w:val="24"/>
            <w:szCs w:val="24"/>
            <w:u w:val="single"/>
            <w:lang w:eastAsia="es-ES"/>
          </w:rPr>
          <w:t>dictamen favorable sobre dos tratamientos contra la COVID-19</w:t>
        </w:r>
      </w:hyperlink>
      <w:r w:rsidRPr="00A36537">
        <w:rPr>
          <w:rFonts w:ascii="EHUSans" w:eastAsia="Times New Roman" w:hAnsi="EHUSans"/>
          <w:sz w:val="24"/>
          <w:szCs w:val="24"/>
          <w:lang w:eastAsia="es-ES"/>
        </w:rPr>
        <w:t xml:space="preserve"> —</w:t>
      </w:r>
      <w:proofErr w:type="spellStart"/>
      <w:r w:rsidRPr="00A36537">
        <w:rPr>
          <w:rFonts w:ascii="EHUSans" w:eastAsia="Times New Roman" w:hAnsi="EHUSans"/>
          <w:sz w:val="24"/>
          <w:szCs w:val="24"/>
          <w:lang w:eastAsia="es-ES"/>
        </w:rPr>
        <w:t>Ronapreve</w:t>
      </w:r>
      <w:proofErr w:type="spellEnd"/>
      <w:r w:rsidRPr="00A36537">
        <w:rPr>
          <w:rFonts w:ascii="EHUSans" w:eastAsia="Times New Roman" w:hAnsi="EHUSans"/>
          <w:sz w:val="24"/>
          <w:szCs w:val="24"/>
          <w:lang w:eastAsia="es-ES"/>
        </w:rPr>
        <w:t xml:space="preserve"> y </w:t>
      </w:r>
      <w:proofErr w:type="spellStart"/>
      <w:r w:rsidRPr="00A36537">
        <w:rPr>
          <w:rFonts w:ascii="EHUSans" w:eastAsia="Times New Roman" w:hAnsi="EHUSans"/>
          <w:sz w:val="24"/>
          <w:szCs w:val="24"/>
          <w:lang w:eastAsia="es-ES"/>
        </w:rPr>
        <w:t>Regkirona</w:t>
      </w:r>
      <w:proofErr w:type="spellEnd"/>
      <w:r w:rsidRPr="00A36537">
        <w:rPr>
          <w:rFonts w:ascii="EHUSans" w:eastAsia="Times New Roman" w:hAnsi="EHUSans"/>
          <w:sz w:val="24"/>
          <w:szCs w:val="24"/>
          <w:lang w:eastAsia="es-ES"/>
        </w:rPr>
        <w:t xml:space="preserve">— que la Comisión considera opciones terapéuticas prometedoras con arreglo a la </w:t>
      </w:r>
      <w:hyperlink r:id="rId26" w:history="1">
        <w:r w:rsidRPr="00A36537">
          <w:rPr>
            <w:rFonts w:ascii="EHUSans" w:eastAsia="Times New Roman" w:hAnsi="EHUSans"/>
            <w:color w:val="0000FF"/>
            <w:sz w:val="24"/>
            <w:szCs w:val="24"/>
            <w:u w:val="single"/>
            <w:lang w:eastAsia="es-ES"/>
          </w:rPr>
          <w:t>Estrategia de la UE sobre Opciones Terapéuticas contra la COVID-19</w:t>
        </w:r>
      </w:hyperlink>
      <w:r w:rsidRPr="00A36537">
        <w:rPr>
          <w:rFonts w:ascii="EHUSans" w:eastAsia="Times New Roman" w:hAnsi="EHUSans"/>
          <w:sz w:val="24"/>
          <w:szCs w:val="24"/>
          <w:lang w:eastAsia="es-ES"/>
        </w:rPr>
        <w:t>. Ambos tratamientos tienen aplicación durante las primeras fases de la infección, y están basados en anticuerpos monoclonales antivirales.</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Octubre de 2021</w:t>
      </w:r>
    </w:p>
    <w:p w:rsidR="00A36537" w:rsidRPr="00A36537" w:rsidRDefault="00A36537" w:rsidP="00A36537">
      <w:pPr>
        <w:numPr>
          <w:ilvl w:val="0"/>
          <w:numId w:val="13"/>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25 de octubre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La UE entrega 600 millones de euros a Ucrania en concepto de ayuda </w:t>
      </w:r>
      <w:proofErr w:type="spellStart"/>
      <w:r w:rsidRPr="00A36537">
        <w:rPr>
          <w:rFonts w:ascii="EHUSans" w:eastAsia="Times New Roman" w:hAnsi="EHUSans"/>
          <w:b/>
          <w:bCs/>
          <w:sz w:val="24"/>
          <w:szCs w:val="24"/>
          <w:lang w:eastAsia="es-ES"/>
        </w:rPr>
        <w:t>macrofinanciera</w:t>
      </w:r>
      <w:proofErr w:type="spellEnd"/>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entregó 600 millones de euros </w:t>
      </w:r>
      <w:hyperlink r:id="rId27" w:history="1">
        <w:r w:rsidRPr="00A36537">
          <w:rPr>
            <w:rFonts w:ascii="EHUSans" w:eastAsia="Times New Roman" w:hAnsi="EHUSans"/>
            <w:color w:val="0000FF"/>
            <w:sz w:val="24"/>
            <w:szCs w:val="24"/>
            <w:u w:val="single"/>
            <w:lang w:eastAsia="es-ES"/>
          </w:rPr>
          <w:t xml:space="preserve">a Ucrania en concepto de ayuda </w:t>
        </w:r>
        <w:proofErr w:type="spellStart"/>
        <w:r w:rsidRPr="00A36537">
          <w:rPr>
            <w:rFonts w:ascii="EHUSans" w:eastAsia="Times New Roman" w:hAnsi="EHUSans"/>
            <w:color w:val="0000FF"/>
            <w:sz w:val="24"/>
            <w:szCs w:val="24"/>
            <w:u w:val="single"/>
            <w:lang w:eastAsia="es-ES"/>
          </w:rPr>
          <w:t>macrofinanciera</w:t>
        </w:r>
        <w:proofErr w:type="spellEnd"/>
      </w:hyperlink>
      <w:r w:rsidRPr="00A36537">
        <w:rPr>
          <w:rFonts w:ascii="EHUSans" w:eastAsia="Times New Roman" w:hAnsi="EHUSans"/>
          <w:sz w:val="24"/>
          <w:szCs w:val="24"/>
          <w:lang w:eastAsia="es-ES"/>
        </w:rPr>
        <w:t xml:space="preserve">. Se trata del segundo y último tramo del actual programa de ayuda </w:t>
      </w:r>
      <w:proofErr w:type="spellStart"/>
      <w:r w:rsidRPr="00A36537">
        <w:rPr>
          <w:rFonts w:ascii="EHUSans" w:eastAsia="Times New Roman" w:hAnsi="EHUSans"/>
          <w:sz w:val="24"/>
          <w:szCs w:val="24"/>
          <w:lang w:eastAsia="es-ES"/>
        </w:rPr>
        <w:t>macrofinanciera</w:t>
      </w:r>
      <w:proofErr w:type="spellEnd"/>
      <w:r w:rsidRPr="00A36537">
        <w:rPr>
          <w:rFonts w:ascii="EHUSans" w:eastAsia="Times New Roman" w:hAnsi="EHUSans"/>
          <w:sz w:val="24"/>
          <w:szCs w:val="24"/>
          <w:lang w:eastAsia="es-ES"/>
        </w:rPr>
        <w:t xml:space="preserve"> de Ucrania, tras un primer desembolso de 600 millones de euros realizado en diciembre de 2020. Este desembolso forma parte del paquete de ayuda </w:t>
      </w:r>
      <w:proofErr w:type="spellStart"/>
      <w:r w:rsidRPr="00A36537">
        <w:rPr>
          <w:rFonts w:ascii="EHUSans" w:eastAsia="Times New Roman" w:hAnsi="EHUSans"/>
          <w:sz w:val="24"/>
          <w:szCs w:val="24"/>
          <w:lang w:eastAsia="es-ES"/>
        </w:rPr>
        <w:t>macrofinanciera</w:t>
      </w:r>
      <w:proofErr w:type="spellEnd"/>
      <w:r w:rsidRPr="00A36537">
        <w:rPr>
          <w:rFonts w:ascii="EHUSans" w:eastAsia="Times New Roman" w:hAnsi="EHUSans"/>
          <w:sz w:val="24"/>
          <w:szCs w:val="24"/>
          <w:lang w:eastAsia="es-ES"/>
        </w:rPr>
        <w:t xml:space="preserve"> de emergencia de 3 000 millones de euros destinado a diez países socios de ampliación y vecindad, cuyo objetivo es ayudar a estos países a limitar las consecuencias económicas de la pandemia de COVID-19.</w:t>
      </w:r>
    </w:p>
    <w:p w:rsidR="00A36537" w:rsidRPr="00A36537" w:rsidRDefault="00A36537" w:rsidP="00A36537">
      <w:pPr>
        <w:numPr>
          <w:ilvl w:val="0"/>
          <w:numId w:val="13"/>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22 de octubre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Cartera de los diez tratamientos más prometedores contra la COVID-19</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estableció una cartera de </w:t>
      </w:r>
      <w:hyperlink r:id="rId28" w:history="1">
        <w:r w:rsidRPr="00A36537">
          <w:rPr>
            <w:rFonts w:ascii="EHUSans" w:eastAsia="Times New Roman" w:hAnsi="EHUSans"/>
            <w:color w:val="0000FF"/>
            <w:sz w:val="24"/>
            <w:szCs w:val="24"/>
            <w:u w:val="single"/>
            <w:lang w:eastAsia="es-ES"/>
          </w:rPr>
          <w:t>diez posibles opciones terapéuticas contra la COVID-19</w:t>
        </w:r>
      </w:hyperlink>
      <w:r w:rsidRPr="00A36537">
        <w:rPr>
          <w:rFonts w:ascii="EHUSans" w:eastAsia="Times New Roman" w:hAnsi="EHUSans"/>
          <w:sz w:val="24"/>
          <w:szCs w:val="24"/>
          <w:lang w:eastAsia="es-ES"/>
        </w:rPr>
        <w:t>. Estas opciones terapéuticas permitirán tratar a pacientes de toda la UE de la forma más rápida posible, siempre que la Agencia Europea de Medicamentos haya confirmado su seguridad y eficacia.</w:t>
      </w:r>
    </w:p>
    <w:p w:rsidR="00A36537" w:rsidRPr="00A36537" w:rsidRDefault="00A36537" w:rsidP="00A36537">
      <w:pPr>
        <w:numPr>
          <w:ilvl w:val="0"/>
          <w:numId w:val="13"/>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18 de octubre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Exportadas más de 1 000 millones de dosis de vacunas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En esa fecha, la Unión Europea había exportado más de 1 000 millones de dosis de vacunas en todo el mundo en los diez últimos meses. Las vacunas producidas en la UE se habían enviado a más de 150 países de </w:t>
      </w:r>
      <w:r w:rsidRPr="00A36537">
        <w:rPr>
          <w:rFonts w:ascii="EHUSans" w:eastAsia="Times New Roman" w:hAnsi="EHUSans"/>
          <w:sz w:val="24"/>
          <w:szCs w:val="24"/>
          <w:lang w:eastAsia="es-ES"/>
        </w:rPr>
        <w:lastRenderedPageBreak/>
        <w:t>todos los continentes. Paralelamente, más del 75 % de la población adulta de la UE había recibido la pauta completa de vacunación.</w:t>
      </w:r>
    </w:p>
    <w:p w:rsidR="00A36537" w:rsidRPr="00A36537" w:rsidRDefault="00B33016" w:rsidP="00A36537">
      <w:pPr>
        <w:numPr>
          <w:ilvl w:val="1"/>
          <w:numId w:val="13"/>
        </w:numPr>
        <w:spacing w:before="100" w:beforeAutospacing="1" w:after="100" w:afterAutospacing="1"/>
        <w:rPr>
          <w:rFonts w:ascii="EHUSans" w:eastAsia="Times New Roman" w:hAnsi="EHUSans"/>
          <w:sz w:val="24"/>
          <w:szCs w:val="24"/>
          <w:lang w:eastAsia="es-ES"/>
        </w:rPr>
      </w:pPr>
      <w:hyperlink r:id="rId29" w:history="1">
        <w:r w:rsidR="00A36537" w:rsidRPr="00A36537">
          <w:rPr>
            <w:rFonts w:ascii="EHUSans" w:eastAsia="Times New Roman" w:hAnsi="EHUSans"/>
            <w:i/>
            <w:iCs/>
            <w:color w:val="0000FF"/>
            <w:sz w:val="24"/>
            <w:szCs w:val="24"/>
            <w:u w:val="single"/>
            <w:lang w:eastAsia="es-ES"/>
          </w:rPr>
          <w:t>Declaración</w:t>
        </w:r>
      </w:hyperlink>
      <w:r w:rsidR="00A36537" w:rsidRPr="00A36537">
        <w:rPr>
          <w:rFonts w:ascii="EHUSans" w:eastAsia="Times New Roman" w:hAnsi="EHUSans"/>
          <w:i/>
          <w:iCs/>
          <w:sz w:val="24"/>
          <w:szCs w:val="24"/>
          <w:lang w:eastAsia="es-ES"/>
        </w:rPr>
        <w:t xml:space="preserve"> de la presidenta Von der </w:t>
      </w:r>
      <w:proofErr w:type="spellStart"/>
      <w:r w:rsidR="00A36537" w:rsidRPr="00A36537">
        <w:rPr>
          <w:rFonts w:ascii="EHUSans" w:eastAsia="Times New Roman" w:hAnsi="EHUSans"/>
          <w:i/>
          <w:iCs/>
          <w:sz w:val="24"/>
          <w:szCs w:val="24"/>
          <w:lang w:eastAsia="es-ES"/>
        </w:rPr>
        <w:t>Leyen</w:t>
      </w:r>
      <w:proofErr w:type="spellEnd"/>
    </w:p>
    <w:p w:rsidR="00A36537" w:rsidRPr="00A36537" w:rsidRDefault="00A36537" w:rsidP="00A36537">
      <w:pPr>
        <w:numPr>
          <w:ilvl w:val="0"/>
          <w:numId w:val="13"/>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18 de octubre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El certificado COVID digital de la UE: un estándar mundial con más de 591 millones de certificados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Un </w:t>
      </w:r>
      <w:hyperlink r:id="rId30" w:history="1">
        <w:r w:rsidRPr="00A36537">
          <w:rPr>
            <w:rFonts w:ascii="EHUSans" w:eastAsia="Times New Roman" w:hAnsi="EHUSans"/>
            <w:color w:val="0000FF"/>
            <w:sz w:val="24"/>
            <w:szCs w:val="24"/>
            <w:u w:val="single"/>
            <w:lang w:eastAsia="es-ES"/>
          </w:rPr>
          <w:t>informe sobre el certificado COVID digital de la UE</w:t>
        </w:r>
      </w:hyperlink>
      <w:r w:rsidRPr="00A36537">
        <w:rPr>
          <w:rFonts w:ascii="EHUSans" w:eastAsia="Times New Roman" w:hAnsi="EHUSans"/>
          <w:sz w:val="24"/>
          <w:szCs w:val="24"/>
          <w:lang w:eastAsia="es-ES"/>
        </w:rPr>
        <w:t xml:space="preserve"> ponía de manifiesto que el certificado había sido un elemento crucial de la respuesta de Europa a la pandemia de COVID-19, con más de 591 millones de certificados expedidos. El certificado también es un éxito en todo el mundo: ha establecido un estándar mundial y actualmente es el único sistema que ya está en funcionamiento a escala internacional, con cuarenta y tres países de cuatro continentes conectados al sistema.</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Septiembre de 2021</w:t>
      </w:r>
    </w:p>
    <w:p w:rsidR="00A36537" w:rsidRPr="00A36537" w:rsidRDefault="00A36537" w:rsidP="00A36537">
      <w:pPr>
        <w:numPr>
          <w:ilvl w:val="0"/>
          <w:numId w:val="14"/>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28 de septiembre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abona 915 millones de euros de prefinanciación a Chequia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ha abonado un pago de prefinanciación de </w:t>
      </w:r>
      <w:hyperlink r:id="rId31" w:history="1">
        <w:r w:rsidRPr="00A36537">
          <w:rPr>
            <w:rFonts w:ascii="EHUSans" w:eastAsia="Times New Roman" w:hAnsi="EHUSans"/>
            <w:color w:val="0000FF"/>
            <w:sz w:val="24"/>
            <w:szCs w:val="24"/>
            <w:u w:val="single"/>
            <w:lang w:eastAsia="es-ES"/>
          </w:rPr>
          <w:t>915 millones de euros a Chequia</w:t>
        </w:r>
      </w:hyperlink>
      <w:r w:rsidRPr="00A36537">
        <w:rPr>
          <w:rFonts w:ascii="EHUSans" w:eastAsia="Times New Roman" w:hAnsi="EHUSans"/>
          <w:sz w:val="24"/>
          <w:szCs w:val="24"/>
          <w:lang w:eastAsia="es-ES"/>
        </w:rPr>
        <w:t xml:space="preserve"> en el marco del Mecanismo de Recuperación y Resiliencia. El pago de </w:t>
      </w:r>
      <w:proofErr w:type="spellStart"/>
      <w:r w:rsidRPr="00A36537">
        <w:rPr>
          <w:rFonts w:ascii="EHUSans" w:eastAsia="Times New Roman" w:hAnsi="EHUSans"/>
          <w:sz w:val="24"/>
          <w:szCs w:val="24"/>
          <w:lang w:eastAsia="es-ES"/>
        </w:rPr>
        <w:t>prefinanaciación</w:t>
      </w:r>
      <w:proofErr w:type="spellEnd"/>
      <w:r w:rsidRPr="00A36537">
        <w:rPr>
          <w:rFonts w:ascii="EHUSans" w:eastAsia="Times New Roman" w:hAnsi="EHUSans"/>
          <w:sz w:val="24"/>
          <w:szCs w:val="24"/>
          <w:lang w:eastAsia="es-ES"/>
        </w:rPr>
        <w:t xml:space="preserve"> contribuirá a poner en marcha la ejecución de medidas esenciales de inversión y reforma descritas en el plan de recuperación y resiliencia de Chequia.</w:t>
      </w:r>
    </w:p>
    <w:p w:rsidR="00A36537" w:rsidRPr="00A36537" w:rsidRDefault="00A36537" w:rsidP="00A36537">
      <w:pPr>
        <w:numPr>
          <w:ilvl w:val="0"/>
          <w:numId w:val="14"/>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28 de septiembre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abona 818 millones de euros de prefinanciación a Croacia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ha abonado un pago de prefinanciación de </w:t>
      </w:r>
      <w:hyperlink r:id="rId32" w:history="1">
        <w:r w:rsidRPr="00A36537">
          <w:rPr>
            <w:rFonts w:ascii="EHUSans" w:eastAsia="Times New Roman" w:hAnsi="EHUSans"/>
            <w:color w:val="0000FF"/>
            <w:sz w:val="24"/>
            <w:szCs w:val="24"/>
            <w:u w:val="single"/>
            <w:lang w:eastAsia="es-ES"/>
          </w:rPr>
          <w:t>818 millones de euros a Croacia</w:t>
        </w:r>
      </w:hyperlink>
      <w:r w:rsidRPr="00A36537">
        <w:rPr>
          <w:rFonts w:ascii="EHUSans" w:eastAsia="Times New Roman" w:hAnsi="EHUSans"/>
          <w:sz w:val="24"/>
          <w:szCs w:val="24"/>
          <w:lang w:eastAsia="es-ES"/>
        </w:rPr>
        <w:t xml:space="preserve"> en el marco del Mecanismo de Recuperación y Resiliencia, lo que equivale al 13 % de la asignación financiera total de este país en el marco de dicho Mecanismo. El pago de </w:t>
      </w:r>
      <w:proofErr w:type="spellStart"/>
      <w:r w:rsidRPr="00A36537">
        <w:rPr>
          <w:rFonts w:ascii="EHUSans" w:eastAsia="Times New Roman" w:hAnsi="EHUSans"/>
          <w:sz w:val="24"/>
          <w:szCs w:val="24"/>
          <w:lang w:eastAsia="es-ES"/>
        </w:rPr>
        <w:t>prefinanaciación</w:t>
      </w:r>
      <w:proofErr w:type="spellEnd"/>
      <w:r w:rsidRPr="00A36537">
        <w:rPr>
          <w:rFonts w:ascii="EHUSans" w:eastAsia="Times New Roman" w:hAnsi="EHUSans"/>
          <w:sz w:val="24"/>
          <w:szCs w:val="24"/>
          <w:lang w:eastAsia="es-ES"/>
        </w:rPr>
        <w:t xml:space="preserve"> contribuirá a poner en marcha la ejecución de medidas esenciales de inversión y reforma descritas en el plan de recuperación y resiliencia de Croacia.</w:t>
      </w:r>
    </w:p>
    <w:p w:rsidR="00A36537" w:rsidRPr="00A36537" w:rsidRDefault="00A36537" w:rsidP="00A36537">
      <w:pPr>
        <w:numPr>
          <w:ilvl w:val="0"/>
          <w:numId w:val="14"/>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28 de septiembre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abona 450 millones de euros de prefinanciación a Austria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lastRenderedPageBreak/>
        <w:t xml:space="preserve">La Comisión ha abonado un pago de prefinanciación de </w:t>
      </w:r>
      <w:hyperlink r:id="rId33" w:history="1">
        <w:r w:rsidRPr="00A36537">
          <w:rPr>
            <w:rFonts w:ascii="EHUSans" w:eastAsia="Times New Roman" w:hAnsi="EHUSans"/>
            <w:color w:val="0000FF"/>
            <w:sz w:val="24"/>
            <w:szCs w:val="24"/>
            <w:u w:val="single"/>
            <w:lang w:eastAsia="es-ES"/>
          </w:rPr>
          <w:t>450 millones de euros a Austria</w:t>
        </w:r>
      </w:hyperlink>
      <w:r w:rsidRPr="00A36537">
        <w:rPr>
          <w:rFonts w:ascii="EHUSans" w:eastAsia="Times New Roman" w:hAnsi="EHUSans"/>
          <w:sz w:val="24"/>
          <w:szCs w:val="24"/>
          <w:lang w:eastAsia="es-ES"/>
        </w:rPr>
        <w:t xml:space="preserve"> en el marco del Mecanismo de Recuperación y Resiliencia, lo que equivale al 13 % de la asignación financiera total de este país en el marco de dicho Mecanismo. El pago de </w:t>
      </w:r>
      <w:proofErr w:type="spellStart"/>
      <w:r w:rsidRPr="00A36537">
        <w:rPr>
          <w:rFonts w:ascii="EHUSans" w:eastAsia="Times New Roman" w:hAnsi="EHUSans"/>
          <w:sz w:val="24"/>
          <w:szCs w:val="24"/>
          <w:lang w:eastAsia="es-ES"/>
        </w:rPr>
        <w:t>prefinanaciación</w:t>
      </w:r>
      <w:proofErr w:type="spellEnd"/>
      <w:r w:rsidRPr="00A36537">
        <w:rPr>
          <w:rFonts w:ascii="EHUSans" w:eastAsia="Times New Roman" w:hAnsi="EHUSans"/>
          <w:sz w:val="24"/>
          <w:szCs w:val="24"/>
          <w:lang w:eastAsia="es-ES"/>
        </w:rPr>
        <w:t xml:space="preserve"> contribuirá a poner en marcha la ejecución de medidas esenciales de inversión y reforma descritas en el plan de recuperación y resiliencia de Austria.</w:t>
      </w:r>
    </w:p>
    <w:p w:rsidR="00A36537" w:rsidRPr="00A36537" w:rsidRDefault="00A36537" w:rsidP="00A36537">
      <w:pPr>
        <w:numPr>
          <w:ilvl w:val="0"/>
          <w:numId w:val="14"/>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27 de septiembre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aprueba el plan de recuperación y resiliencia de Rumanía, de un valor de 29 200 millones de euros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ha adoptado una </w:t>
      </w:r>
      <w:hyperlink r:id="rId34" w:history="1">
        <w:r w:rsidRPr="00A36537">
          <w:rPr>
            <w:rFonts w:ascii="EHUSans" w:eastAsia="Times New Roman" w:hAnsi="EHUSans"/>
            <w:color w:val="0000FF"/>
            <w:sz w:val="24"/>
            <w:szCs w:val="24"/>
            <w:u w:val="single"/>
            <w:lang w:eastAsia="es-ES"/>
          </w:rPr>
          <w:t>evaluación positiva del plan de recuperación y resiliencia de Rumanía</w:t>
        </w:r>
      </w:hyperlink>
      <w:r w:rsidRPr="00A36537">
        <w:rPr>
          <w:rFonts w:ascii="EHUSans" w:eastAsia="Times New Roman" w:hAnsi="EHUSans"/>
          <w:sz w:val="24"/>
          <w:szCs w:val="24"/>
          <w:lang w:eastAsia="es-ES"/>
        </w:rPr>
        <w:t>, que constituye un paso importante para el desembolso por parte de la UE de 14 200 millones de euros en subvenciones y 14 900 millones de euros en préstamos para este país en el marco del Mecanismo de Recuperación y Resiliencia. Esta financiación contribuirá a la ejecución de medidas esenciales de inversión y reforma descritas en el plan de recuperación y resiliencia de Rumanía.</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Agosto de 2021</w:t>
      </w:r>
    </w:p>
    <w:p w:rsidR="00A36537" w:rsidRPr="00A36537" w:rsidRDefault="00A36537" w:rsidP="00A36537">
      <w:pPr>
        <w:numPr>
          <w:ilvl w:val="0"/>
          <w:numId w:val="15"/>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31 de agosto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El 70 % de la población adulta de la Unión está totalmente vacunada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La Unión ha alcanzado un hito crucial: la vacunación completa del 70 % de la población adulta. En total, más de 256 millones de adultos han recibido la pauta de vacunación completa en la Unión.</w:t>
      </w:r>
    </w:p>
    <w:p w:rsidR="00A36537" w:rsidRPr="00A36537" w:rsidRDefault="00A36537" w:rsidP="00A36537">
      <w:pPr>
        <w:numPr>
          <w:ilvl w:val="0"/>
          <w:numId w:val="15"/>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26 de agosto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abona 2 250 millones de euros de prefinanciación a Alemania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ha abonado </w:t>
      </w:r>
      <w:hyperlink r:id="rId35" w:history="1">
        <w:r w:rsidRPr="00A36537">
          <w:rPr>
            <w:rFonts w:ascii="EHUSans" w:eastAsia="Times New Roman" w:hAnsi="EHUSans"/>
            <w:color w:val="0000FF"/>
            <w:sz w:val="24"/>
            <w:szCs w:val="24"/>
            <w:u w:val="single"/>
            <w:lang w:eastAsia="es-ES"/>
          </w:rPr>
          <w:t>2 250 millones de euros de prefinanciación a Alemania</w:t>
        </w:r>
      </w:hyperlink>
      <w:r w:rsidRPr="00A36537">
        <w:rPr>
          <w:rFonts w:ascii="EHUSans" w:eastAsia="Times New Roman" w:hAnsi="EHUSans"/>
          <w:sz w:val="24"/>
          <w:szCs w:val="24"/>
          <w:lang w:eastAsia="es-ES"/>
        </w:rPr>
        <w:t>, lo que equivale al 9 % de la asignación financiera de este país en el marco del Mecanismo de Recuperación y Resiliencia. El pago de prefinanciación contribuirá a poner en marcha la ejecución de medidas esenciales de inversión y reforma descritas en el plan de recuperación y resiliencia de Alemania.</w:t>
      </w:r>
    </w:p>
    <w:p w:rsidR="00A36537" w:rsidRPr="00A36537" w:rsidRDefault="00A36537" w:rsidP="00A36537">
      <w:pPr>
        <w:numPr>
          <w:ilvl w:val="0"/>
          <w:numId w:val="15"/>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19 de agosto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lastRenderedPageBreak/>
        <w:t>La Comisión abona 5 100 millones de euros de prefinanciación a Francia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ha abonado </w:t>
      </w:r>
      <w:hyperlink r:id="rId36" w:history="1">
        <w:r w:rsidRPr="00A36537">
          <w:rPr>
            <w:rFonts w:ascii="EHUSans" w:eastAsia="Times New Roman" w:hAnsi="EHUSans"/>
            <w:color w:val="0000FF"/>
            <w:sz w:val="24"/>
            <w:szCs w:val="24"/>
            <w:u w:val="single"/>
            <w:lang w:eastAsia="es-ES"/>
          </w:rPr>
          <w:t>5 100 millones de euros de prefinanciación a Francia</w:t>
        </w:r>
      </w:hyperlink>
      <w:r w:rsidRPr="00A36537">
        <w:rPr>
          <w:rFonts w:ascii="EHUSans" w:eastAsia="Times New Roman" w:hAnsi="EHUSans"/>
          <w:sz w:val="24"/>
          <w:szCs w:val="24"/>
          <w:lang w:eastAsia="es-ES"/>
        </w:rPr>
        <w:t>, lo que equivale al 13 % de la asignación financiera de este país en el marco del Mecanismo de Recuperación y Resiliencia. El pago de prefinanciación contribuirá a poner en marcha la ejecución de medidas esenciales de inversión y reforma descritas en el plan de recuperación y resiliencia de Francia.</w:t>
      </w:r>
    </w:p>
    <w:p w:rsidR="00A36537" w:rsidRPr="00A36537" w:rsidRDefault="00A36537" w:rsidP="00A36537">
      <w:pPr>
        <w:numPr>
          <w:ilvl w:val="0"/>
          <w:numId w:val="15"/>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17 de agosto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abona 289 millones de euros de prefinanciación a Lituania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ha abonado </w:t>
      </w:r>
      <w:hyperlink r:id="rId37" w:history="1">
        <w:r w:rsidRPr="00A36537">
          <w:rPr>
            <w:rFonts w:ascii="EHUSans" w:eastAsia="Times New Roman" w:hAnsi="EHUSans"/>
            <w:color w:val="0000FF"/>
            <w:sz w:val="24"/>
            <w:szCs w:val="24"/>
            <w:u w:val="single"/>
            <w:lang w:eastAsia="es-ES"/>
          </w:rPr>
          <w:t>289 millones de euros de prefinanciación a Lituania</w:t>
        </w:r>
      </w:hyperlink>
      <w:r w:rsidRPr="00A36537">
        <w:rPr>
          <w:rFonts w:ascii="EHUSans" w:eastAsia="Times New Roman" w:hAnsi="EHUSans"/>
          <w:sz w:val="24"/>
          <w:szCs w:val="24"/>
          <w:lang w:eastAsia="es-ES"/>
        </w:rPr>
        <w:t>, lo que equivale al 13 % de la asignación financiera de este país en el marco del Mecanismo de Recuperación y Resiliencia. El pago de prefinanciación contribuirá a poner en marcha la ejecución de medidas esenciales de inversión y reforma descritas en el plan de recuperación y resiliencia de Lituania.</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Julio de 2021</w:t>
      </w:r>
    </w:p>
    <w:p w:rsidR="00A36537" w:rsidRPr="00A36537" w:rsidRDefault="00A36537" w:rsidP="00A36537">
      <w:pPr>
        <w:numPr>
          <w:ilvl w:val="0"/>
          <w:numId w:val="16"/>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27 de julio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UE alcanza el hito de vacunar con una dosis al 70 % de la población adulta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presidenta de la Comisión Europea, </w:t>
      </w:r>
      <w:proofErr w:type="spellStart"/>
      <w:r w:rsidRPr="00A36537">
        <w:rPr>
          <w:rFonts w:ascii="EHUSans" w:eastAsia="Times New Roman" w:hAnsi="EHUSans"/>
          <w:sz w:val="24"/>
          <w:szCs w:val="24"/>
          <w:lang w:eastAsia="es-ES"/>
        </w:rPr>
        <w:t>Ursula</w:t>
      </w:r>
      <w:proofErr w:type="spellEnd"/>
      <w:r w:rsidRPr="00A36537">
        <w:rPr>
          <w:rFonts w:ascii="EHUSans" w:eastAsia="Times New Roman" w:hAnsi="EHUSans"/>
          <w:sz w:val="24"/>
          <w:szCs w:val="24"/>
          <w:lang w:eastAsia="es-ES"/>
        </w:rPr>
        <w:t xml:space="preserve"> von der </w:t>
      </w:r>
      <w:proofErr w:type="spellStart"/>
      <w:r w:rsidRPr="00A36537">
        <w:rPr>
          <w:rFonts w:ascii="EHUSans" w:eastAsia="Times New Roman" w:hAnsi="EHUSans"/>
          <w:sz w:val="24"/>
          <w:szCs w:val="24"/>
          <w:lang w:eastAsia="es-ES"/>
        </w:rPr>
        <w:t>Leyen</w:t>
      </w:r>
      <w:proofErr w:type="spellEnd"/>
      <w:r w:rsidRPr="00A36537">
        <w:rPr>
          <w:rFonts w:ascii="EHUSans" w:eastAsia="Times New Roman" w:hAnsi="EHUSans"/>
          <w:sz w:val="24"/>
          <w:szCs w:val="24"/>
          <w:lang w:eastAsia="es-ES"/>
        </w:rPr>
        <w:t xml:space="preserve">, ha </w:t>
      </w:r>
      <w:hyperlink r:id="rId38" w:history="1">
        <w:r w:rsidRPr="00A36537">
          <w:rPr>
            <w:rFonts w:ascii="EHUSans" w:eastAsia="Times New Roman" w:hAnsi="EHUSans"/>
            <w:color w:val="0000FF"/>
            <w:sz w:val="24"/>
            <w:szCs w:val="24"/>
            <w:u w:val="single"/>
            <w:lang w:eastAsia="es-ES"/>
          </w:rPr>
          <w:t>informado</w:t>
        </w:r>
      </w:hyperlink>
      <w:r w:rsidRPr="00A36537">
        <w:rPr>
          <w:rFonts w:ascii="EHUSans" w:eastAsia="Times New Roman" w:hAnsi="EHUSans"/>
          <w:sz w:val="24"/>
          <w:szCs w:val="24"/>
          <w:lang w:eastAsia="es-ES"/>
        </w:rPr>
        <w:t xml:space="preserve"> de que la UE alcanzó en julio el hito de vacunar al 70 % de su población adulta con al menos una dosis.</w:t>
      </w:r>
    </w:p>
    <w:p w:rsidR="00A36537" w:rsidRPr="00A36537" w:rsidRDefault="00A36537" w:rsidP="00A36537">
      <w:pPr>
        <w:numPr>
          <w:ilvl w:val="0"/>
          <w:numId w:val="16"/>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22 de julio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aumenta la financiación para investigación con 120 millones de euros destinados a once nuevos proyectos para luchar contra el virus y sus variantes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ha preseleccionado </w:t>
      </w:r>
      <w:hyperlink r:id="rId39" w:history="1">
        <w:r w:rsidRPr="00A36537">
          <w:rPr>
            <w:rFonts w:ascii="EHUSans" w:eastAsia="Times New Roman" w:hAnsi="EHUSans"/>
            <w:color w:val="0000FF"/>
            <w:sz w:val="24"/>
            <w:szCs w:val="24"/>
            <w:u w:val="single"/>
            <w:lang w:eastAsia="es-ES"/>
          </w:rPr>
          <w:t>once nuevos proyectos</w:t>
        </w:r>
      </w:hyperlink>
      <w:r w:rsidRPr="00A36537">
        <w:rPr>
          <w:rFonts w:ascii="EHUSans" w:eastAsia="Times New Roman" w:hAnsi="EHUSans"/>
          <w:sz w:val="24"/>
          <w:szCs w:val="24"/>
          <w:lang w:eastAsia="es-ES"/>
        </w:rPr>
        <w:t xml:space="preserve"> a los que destinará 120 millones de euros procedentes de Horizonte Europa, el mayor programa europeo de investigación e innovación (2021-2027), para apoyar y posibilitar la investigación urgente sobre el coronavirus y sus variantes.</w:t>
      </w:r>
    </w:p>
    <w:p w:rsidR="00A36537" w:rsidRPr="00A36537" w:rsidRDefault="00A36537" w:rsidP="00A36537">
      <w:pPr>
        <w:numPr>
          <w:ilvl w:val="0"/>
          <w:numId w:val="16"/>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19 de julio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lastRenderedPageBreak/>
        <w:t>La Comisión aprueba el plan de recuperación y resiliencia de Chequia, de un valor de 7 000 millones de euros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ha adoptado una </w:t>
      </w:r>
      <w:hyperlink r:id="rId40" w:history="1">
        <w:r w:rsidRPr="00A36537">
          <w:rPr>
            <w:rFonts w:ascii="EHUSans" w:eastAsia="Times New Roman" w:hAnsi="EHUSans"/>
            <w:color w:val="0000FF"/>
            <w:sz w:val="24"/>
            <w:szCs w:val="24"/>
            <w:u w:val="single"/>
            <w:lang w:eastAsia="es-ES"/>
          </w:rPr>
          <w:t>evaluación positiva</w:t>
        </w:r>
      </w:hyperlink>
      <w:r w:rsidRPr="00A36537">
        <w:rPr>
          <w:rFonts w:ascii="EHUSans" w:eastAsia="Times New Roman" w:hAnsi="EHUSans"/>
          <w:sz w:val="24"/>
          <w:szCs w:val="24"/>
          <w:lang w:eastAsia="es-ES"/>
        </w:rPr>
        <w:t xml:space="preserve"> del plan de recuperación y resiliencia de Chequia. Se trata de un paso importante para el desembolso por parte de la UE de 7 000 millones de euros en subvenciones con cargo al Mecanismo de Recuperación y Resiliencia. Esta financiación contribuirá a la ejecución de medidas esenciales de inversión y reforma descritas en el plan de recuperación y resiliencia de Chequia.</w:t>
      </w:r>
    </w:p>
    <w:p w:rsidR="00A36537" w:rsidRPr="00A36537" w:rsidRDefault="00A36537" w:rsidP="00A36537">
      <w:pPr>
        <w:numPr>
          <w:ilvl w:val="0"/>
          <w:numId w:val="16"/>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16 de julio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aprueba el plan de recuperación y resiliencia de Irlanda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ha adoptado una </w:t>
      </w:r>
      <w:hyperlink r:id="rId41" w:history="1">
        <w:r w:rsidRPr="00A36537">
          <w:rPr>
            <w:rFonts w:ascii="EHUSans" w:eastAsia="Times New Roman" w:hAnsi="EHUSans"/>
            <w:color w:val="0000FF"/>
            <w:sz w:val="24"/>
            <w:szCs w:val="24"/>
            <w:u w:val="single"/>
            <w:lang w:eastAsia="es-ES"/>
          </w:rPr>
          <w:t>evaluación positiva</w:t>
        </w:r>
      </w:hyperlink>
      <w:r w:rsidRPr="00A36537">
        <w:rPr>
          <w:rFonts w:ascii="EHUSans" w:eastAsia="Times New Roman" w:hAnsi="EHUSans"/>
          <w:sz w:val="24"/>
          <w:szCs w:val="24"/>
          <w:lang w:eastAsia="es-ES"/>
        </w:rPr>
        <w:t xml:space="preserve"> del plan de recuperación y resiliencia de Irlanda. Se trata de un paso importante para el desembolso por parte de la UE de 989 millones de euros en subvenciones en el marco del Mecanismo de Recuperación y Resiliencia, que contribuirá a la aplicación de medidas esenciales de inversión y reforma descritas en el plan de recuperación y resiliencia de Irlanda.</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Junio de 2021</w:t>
      </w:r>
    </w:p>
    <w:p w:rsidR="00A36537" w:rsidRPr="00A36537" w:rsidRDefault="00A36537" w:rsidP="00A36537">
      <w:pPr>
        <w:numPr>
          <w:ilvl w:val="0"/>
          <w:numId w:val="17"/>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29 de junio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completa con éxito la segunda emisión de bonos para apoyar la recuperación de Europa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En su segunda transacción </w:t>
      </w:r>
      <w:proofErr w:type="spellStart"/>
      <w:r w:rsidRPr="00A36537">
        <w:rPr>
          <w:rFonts w:ascii="EHUSans" w:eastAsia="Times New Roman" w:hAnsi="EHUSans"/>
          <w:sz w:val="24"/>
          <w:szCs w:val="24"/>
          <w:lang w:eastAsia="es-ES"/>
        </w:rPr>
        <w:t>NextGenerationEU</w:t>
      </w:r>
      <w:proofErr w:type="spellEnd"/>
      <w:r w:rsidRPr="00A36537">
        <w:rPr>
          <w:rFonts w:ascii="EHUSans" w:eastAsia="Times New Roman" w:hAnsi="EHUSans"/>
          <w:sz w:val="24"/>
          <w:szCs w:val="24"/>
          <w:lang w:eastAsia="es-ES"/>
        </w:rPr>
        <w:t xml:space="preserve">, la Comisión </w:t>
      </w:r>
      <w:hyperlink r:id="rId42" w:history="1">
        <w:r w:rsidRPr="00A36537">
          <w:rPr>
            <w:rFonts w:ascii="EHUSans" w:eastAsia="Times New Roman" w:hAnsi="EHUSans"/>
            <w:color w:val="0000FF"/>
            <w:sz w:val="24"/>
            <w:szCs w:val="24"/>
            <w:u w:val="single"/>
            <w:lang w:eastAsia="es-ES"/>
          </w:rPr>
          <w:t>recaudó</w:t>
        </w:r>
      </w:hyperlink>
      <w:r w:rsidRPr="00A36537">
        <w:rPr>
          <w:rFonts w:ascii="EHUSans" w:eastAsia="Times New Roman" w:hAnsi="EHUSans"/>
          <w:sz w:val="24"/>
          <w:szCs w:val="24"/>
          <w:lang w:eastAsia="es-ES"/>
        </w:rPr>
        <w:t xml:space="preserve"> 15 000 millones de euros para financiar la recuperación de Europa de la crisis del coronavirus y sus consecuencias. La transacción de doble tramo constaba de un bono de 9 000 millones de euros a 5 años, con vencimiento el 6 de julio de 2026, y un bono de 6 000 millones de euros a 30 años, que vence el 6 de julio de 2051.</w:t>
      </w:r>
    </w:p>
    <w:p w:rsidR="00A36537" w:rsidRPr="00A36537" w:rsidRDefault="00A36537" w:rsidP="00A36537">
      <w:pPr>
        <w:numPr>
          <w:ilvl w:val="0"/>
          <w:numId w:val="17"/>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29 de junio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ha seleccionado cinco opciones terapéuticas candidatas prometedoras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Estrategia de la UE sobre Opciones Terapéuticas contra la COVID-19 ofrece hoy sus primeros resultados, con el </w:t>
      </w:r>
      <w:hyperlink r:id="rId43" w:history="1">
        <w:r w:rsidRPr="00A36537">
          <w:rPr>
            <w:rFonts w:ascii="EHUSans" w:eastAsia="Times New Roman" w:hAnsi="EHUSans"/>
            <w:color w:val="0000FF"/>
            <w:sz w:val="24"/>
            <w:szCs w:val="24"/>
            <w:u w:val="single"/>
            <w:lang w:eastAsia="es-ES"/>
          </w:rPr>
          <w:t>anuncio</w:t>
        </w:r>
      </w:hyperlink>
      <w:r w:rsidRPr="00A36537">
        <w:rPr>
          <w:rFonts w:ascii="EHUSans" w:eastAsia="Times New Roman" w:hAnsi="EHUSans"/>
          <w:sz w:val="24"/>
          <w:szCs w:val="24"/>
          <w:lang w:eastAsia="es-ES"/>
        </w:rPr>
        <w:t xml:space="preserve"> de la primera cartera de cinco opciones terapéuticas que pronto podrían estar disponibles para tratar a pacientes de toda la UE. Cuatro de dichas opciones terapéuticas son anticuerpos monoclonales sometidos a revisión continua por la Agencia Europea de Medicamentos. La otra es un </w:t>
      </w:r>
      <w:r w:rsidRPr="00A36537">
        <w:rPr>
          <w:rFonts w:ascii="EHUSans" w:eastAsia="Times New Roman" w:hAnsi="EHUSans"/>
          <w:sz w:val="24"/>
          <w:szCs w:val="24"/>
          <w:lang w:eastAsia="es-ES"/>
        </w:rPr>
        <w:lastRenderedPageBreak/>
        <w:t>inmunosupresor, cuya autorización de comercialización podría extenderse para incluir el tratamiento de los pacientes de COVID-19.</w:t>
      </w:r>
    </w:p>
    <w:p w:rsidR="00A36537" w:rsidRPr="00A36537" w:rsidRDefault="00A36537" w:rsidP="00A36537">
      <w:pPr>
        <w:numPr>
          <w:ilvl w:val="0"/>
          <w:numId w:val="17"/>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28 de junio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Instrumento de Recuperación de la Unión Europea (</w:t>
      </w:r>
      <w:proofErr w:type="spellStart"/>
      <w:r w:rsidRPr="00A36537">
        <w:rPr>
          <w:rFonts w:ascii="EHUSans" w:eastAsia="Times New Roman" w:hAnsi="EHUSans"/>
          <w:b/>
          <w:bCs/>
          <w:sz w:val="24"/>
          <w:szCs w:val="24"/>
          <w:lang w:eastAsia="es-ES"/>
        </w:rPr>
        <w:t>NextGenerationEU</w:t>
      </w:r>
      <w:proofErr w:type="spellEnd"/>
      <w:r w:rsidRPr="00A36537">
        <w:rPr>
          <w:rFonts w:ascii="EHUSans" w:eastAsia="Times New Roman" w:hAnsi="EHUSans"/>
          <w:b/>
          <w:bCs/>
          <w:sz w:val="24"/>
          <w:szCs w:val="24"/>
          <w:lang w:eastAsia="es-ES"/>
        </w:rPr>
        <w:t>): La Comisión desembolsa 800 millones de euros de primeros pagos para fomentar la reparación de la crisis y la resiliencia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ha </w:t>
      </w:r>
      <w:hyperlink r:id="rId44" w:history="1">
        <w:r w:rsidRPr="00A36537">
          <w:rPr>
            <w:rFonts w:ascii="EHUSans" w:eastAsia="Times New Roman" w:hAnsi="EHUSans"/>
            <w:color w:val="0000FF"/>
            <w:sz w:val="24"/>
            <w:szCs w:val="24"/>
            <w:u w:val="single"/>
            <w:lang w:eastAsia="es-ES"/>
          </w:rPr>
          <w:t>desembolsado 800 millones de euros</w:t>
        </w:r>
      </w:hyperlink>
      <w:r w:rsidRPr="00A36537">
        <w:rPr>
          <w:rFonts w:ascii="EHUSans" w:eastAsia="Times New Roman" w:hAnsi="EHUSans"/>
          <w:sz w:val="24"/>
          <w:szCs w:val="24"/>
          <w:lang w:eastAsia="es-ES"/>
        </w:rPr>
        <w:t xml:space="preserve"> en pagos de </w:t>
      </w:r>
      <w:proofErr w:type="spellStart"/>
      <w:r w:rsidRPr="00A36537">
        <w:rPr>
          <w:rFonts w:ascii="EHUSans" w:eastAsia="Times New Roman" w:hAnsi="EHUSans"/>
          <w:sz w:val="24"/>
          <w:szCs w:val="24"/>
          <w:lang w:eastAsia="es-ES"/>
        </w:rPr>
        <w:t>NextGenerationEU</w:t>
      </w:r>
      <w:proofErr w:type="spellEnd"/>
      <w:r w:rsidRPr="00A36537">
        <w:rPr>
          <w:rFonts w:ascii="EHUSans" w:eastAsia="Times New Roman" w:hAnsi="EHUSans"/>
          <w:sz w:val="24"/>
          <w:szCs w:val="24"/>
          <w:lang w:eastAsia="es-ES"/>
        </w:rPr>
        <w:t xml:space="preserve">, el instrumento temporal para financiar la recuperación de Europa y fomentar una economía más ecológica, más digital y </w:t>
      </w:r>
      <w:proofErr w:type="spellStart"/>
      <w:r w:rsidRPr="00A36537">
        <w:rPr>
          <w:rFonts w:ascii="EHUSans" w:eastAsia="Times New Roman" w:hAnsi="EHUSans"/>
          <w:sz w:val="24"/>
          <w:szCs w:val="24"/>
          <w:lang w:eastAsia="es-ES"/>
        </w:rPr>
        <w:t>resiliente</w:t>
      </w:r>
      <w:proofErr w:type="spellEnd"/>
      <w:r w:rsidRPr="00A36537">
        <w:rPr>
          <w:rFonts w:ascii="EHUSans" w:eastAsia="Times New Roman" w:hAnsi="EHUSans"/>
          <w:sz w:val="24"/>
          <w:szCs w:val="24"/>
          <w:lang w:eastAsia="es-ES"/>
        </w:rPr>
        <w:t xml:space="preserve"> tras la pandemia. Los pagos se destinaron a 41 programas nacionales y regionales en 16 Estados miembros (Bulgaria, Chequia, Dinamarca, Alemania, Estonia, Grecia, Francia, Croacia, Lituania, Países Bajos, Austria, Polonia, Portugal, Eslovaquia, Finlandia y Suecia) en el marco de la iniciativa «Ayuda a la Recuperación para la Cohesión y los Territorios de Europa» (REACT-UE).</w:t>
      </w:r>
    </w:p>
    <w:p w:rsidR="00A36537" w:rsidRPr="00A36537" w:rsidRDefault="00A36537" w:rsidP="00A36537">
      <w:pPr>
        <w:numPr>
          <w:ilvl w:val="0"/>
          <w:numId w:val="17"/>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23 de junio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aprueba el plan de recuperación y resiliencia de Francia por valor de 39 400 millones de euros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adoptó </w:t>
      </w:r>
      <w:hyperlink r:id="rId45" w:history="1">
        <w:r w:rsidRPr="00A36537">
          <w:rPr>
            <w:rFonts w:ascii="EHUSans" w:eastAsia="Times New Roman" w:hAnsi="EHUSans"/>
            <w:color w:val="0000FF"/>
            <w:sz w:val="24"/>
            <w:szCs w:val="24"/>
            <w:u w:val="single"/>
            <w:lang w:eastAsia="es-ES"/>
          </w:rPr>
          <w:t>una evaluación positiva</w:t>
        </w:r>
      </w:hyperlink>
      <w:r w:rsidRPr="00A36537">
        <w:rPr>
          <w:rFonts w:ascii="EHUSans" w:eastAsia="Times New Roman" w:hAnsi="EHUSans"/>
          <w:sz w:val="24"/>
          <w:szCs w:val="24"/>
          <w:lang w:eastAsia="es-ES"/>
        </w:rPr>
        <w:t xml:space="preserve"> del plan de recuperación y resiliencia de Francia. Se trata de un paso importante hacia el desembolso por la UE de 39 400 millones de euros en subvenciones del Mecanismo de Recuperación y Resiliencia, y será esencial para que Francia pueda salir reforzada de la pandemia de COVID-19.</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Mayo de 2021</w:t>
      </w:r>
    </w:p>
    <w:p w:rsidR="00A36537" w:rsidRPr="00A36537" w:rsidRDefault="00A36537" w:rsidP="00A36537">
      <w:pPr>
        <w:numPr>
          <w:ilvl w:val="0"/>
          <w:numId w:val="1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25 de mayo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desembolsa 14 100 millones de euros a 12 Estados miembros a través del instrumento SURE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ha desembolsado </w:t>
      </w:r>
      <w:hyperlink r:id="rId46" w:history="1">
        <w:r w:rsidRPr="00A36537">
          <w:rPr>
            <w:rFonts w:ascii="EHUSans" w:eastAsia="Times New Roman" w:hAnsi="EHUSans"/>
            <w:color w:val="0000FF"/>
            <w:sz w:val="24"/>
            <w:szCs w:val="24"/>
            <w:u w:val="single"/>
            <w:lang w:eastAsia="es-ES"/>
          </w:rPr>
          <w:t>14 137 millones de euros a 12 Estados miembros</w:t>
        </w:r>
      </w:hyperlink>
      <w:r w:rsidRPr="00A36537">
        <w:rPr>
          <w:rFonts w:ascii="EHUSans" w:eastAsia="Times New Roman" w:hAnsi="EHUSans"/>
          <w:sz w:val="24"/>
          <w:szCs w:val="24"/>
          <w:lang w:eastAsia="es-ES"/>
        </w:rPr>
        <w:t xml:space="preserve"> en el séptimo tramo de la ayuda financiera con cargo al instrumento SURE. Con este desembolso del instrumento SURE, la UE ha proporcionado casi 90 000 millones de euros en préstamos consecutivos.</w:t>
      </w:r>
    </w:p>
    <w:p w:rsidR="00A36537" w:rsidRPr="00A36537" w:rsidRDefault="00A36537" w:rsidP="00A36537">
      <w:pPr>
        <w:numPr>
          <w:ilvl w:val="0"/>
          <w:numId w:val="1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21 de mayo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Los líderes mundiales adoptan una agenda para superar la crisis de la COVID-19 y evitar futuras pandemias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lastRenderedPageBreak/>
        <w:t xml:space="preserve">Los líderes del G-20 se han comprometido a tomar una serie de medidas para agilizar el fin de la crisis de la COVID-19 en todo el planeta y prepararse mejor para pandemias futuras en la </w:t>
      </w:r>
      <w:hyperlink r:id="rId47" w:history="1">
        <w:r w:rsidRPr="00A36537">
          <w:rPr>
            <w:rFonts w:ascii="EHUSans" w:eastAsia="Times New Roman" w:hAnsi="EHUSans"/>
            <w:color w:val="0000FF"/>
            <w:sz w:val="24"/>
            <w:szCs w:val="24"/>
            <w:u w:val="single"/>
            <w:lang w:eastAsia="es-ES"/>
          </w:rPr>
          <w:t>Cumbre Mundial sobre la Salud</w:t>
        </w:r>
      </w:hyperlink>
      <w:r w:rsidRPr="00A36537">
        <w:rPr>
          <w:rFonts w:ascii="EHUSans" w:eastAsia="Times New Roman" w:hAnsi="EHUSans"/>
          <w:sz w:val="24"/>
          <w:szCs w:val="24"/>
          <w:lang w:eastAsia="es-ES"/>
        </w:rPr>
        <w:t xml:space="preserve"> organizada conjuntamente en Roma por la presidenta de la Comisión Europea, </w:t>
      </w:r>
      <w:proofErr w:type="spellStart"/>
      <w:r w:rsidRPr="00A36537">
        <w:rPr>
          <w:rFonts w:ascii="EHUSans" w:eastAsia="Times New Roman" w:hAnsi="EHUSans"/>
          <w:sz w:val="24"/>
          <w:szCs w:val="24"/>
          <w:lang w:eastAsia="es-ES"/>
        </w:rPr>
        <w:t>Ursula</w:t>
      </w:r>
      <w:proofErr w:type="spellEnd"/>
      <w:r w:rsidRPr="00A36537">
        <w:rPr>
          <w:rFonts w:ascii="EHUSans" w:eastAsia="Times New Roman" w:hAnsi="EHUSans"/>
          <w:sz w:val="24"/>
          <w:szCs w:val="24"/>
          <w:lang w:eastAsia="es-ES"/>
        </w:rPr>
        <w:t xml:space="preserve"> </w:t>
      </w:r>
      <w:r w:rsidRPr="00A36537">
        <w:rPr>
          <w:rFonts w:ascii="EHUSans" w:eastAsia="Times New Roman" w:hAnsi="EHUSans"/>
          <w:b/>
          <w:bCs/>
          <w:sz w:val="24"/>
          <w:szCs w:val="24"/>
          <w:lang w:eastAsia="es-ES"/>
        </w:rPr>
        <w:t xml:space="preserve">von der </w:t>
      </w:r>
      <w:proofErr w:type="spellStart"/>
      <w:r w:rsidRPr="00A36537">
        <w:rPr>
          <w:rFonts w:ascii="EHUSans" w:eastAsia="Times New Roman" w:hAnsi="EHUSans"/>
          <w:b/>
          <w:bCs/>
          <w:sz w:val="24"/>
          <w:szCs w:val="24"/>
          <w:lang w:eastAsia="es-ES"/>
        </w:rPr>
        <w:t>Leyen</w:t>
      </w:r>
      <w:proofErr w:type="spellEnd"/>
      <w:r w:rsidRPr="00A36537">
        <w:rPr>
          <w:rFonts w:ascii="EHUSans" w:eastAsia="Times New Roman" w:hAnsi="EHUSans"/>
          <w:sz w:val="24"/>
          <w:szCs w:val="24"/>
          <w:lang w:eastAsia="es-ES"/>
        </w:rPr>
        <w:t xml:space="preserve">, y el primer ministro italiano, Mario </w:t>
      </w:r>
      <w:proofErr w:type="spellStart"/>
      <w:r w:rsidRPr="00A36537">
        <w:rPr>
          <w:rFonts w:ascii="EHUSans" w:eastAsia="Times New Roman" w:hAnsi="EHUSans"/>
          <w:sz w:val="24"/>
          <w:szCs w:val="24"/>
          <w:lang w:eastAsia="es-ES"/>
        </w:rPr>
        <w:t>Draghi</w:t>
      </w:r>
      <w:proofErr w:type="spellEnd"/>
      <w:r w:rsidRPr="00A36537">
        <w:rPr>
          <w:rFonts w:ascii="EHUSans" w:eastAsia="Times New Roman" w:hAnsi="EHUSans"/>
          <w:sz w:val="24"/>
          <w:szCs w:val="24"/>
          <w:lang w:eastAsia="es-ES"/>
        </w:rPr>
        <w:t>, en su calidad de presidente del G-20.</w:t>
      </w:r>
    </w:p>
    <w:p w:rsidR="00A36537" w:rsidRPr="00A36537" w:rsidRDefault="00A36537" w:rsidP="00A36537">
      <w:pPr>
        <w:numPr>
          <w:ilvl w:val="0"/>
          <w:numId w:val="1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21 de mayo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Mil millones de euros para la Iniciativa «Equipo Europa» en África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presidenta de la Comisión Europea, </w:t>
      </w:r>
      <w:proofErr w:type="spellStart"/>
      <w:r w:rsidRPr="00A36537">
        <w:rPr>
          <w:rFonts w:ascii="EHUSans" w:eastAsia="Times New Roman" w:hAnsi="EHUSans"/>
          <w:sz w:val="24"/>
          <w:szCs w:val="24"/>
          <w:lang w:eastAsia="es-ES"/>
        </w:rPr>
        <w:t>Ursula</w:t>
      </w:r>
      <w:proofErr w:type="spellEnd"/>
      <w:r w:rsidRPr="00A36537">
        <w:rPr>
          <w:rFonts w:ascii="EHUSans" w:eastAsia="Times New Roman" w:hAnsi="EHUSans"/>
          <w:sz w:val="24"/>
          <w:szCs w:val="24"/>
          <w:lang w:eastAsia="es-ES"/>
        </w:rPr>
        <w:t xml:space="preserve"> von der </w:t>
      </w:r>
      <w:proofErr w:type="spellStart"/>
      <w:r w:rsidRPr="00A36537">
        <w:rPr>
          <w:rFonts w:ascii="EHUSans" w:eastAsia="Times New Roman" w:hAnsi="EHUSans"/>
          <w:sz w:val="24"/>
          <w:szCs w:val="24"/>
          <w:lang w:eastAsia="es-ES"/>
        </w:rPr>
        <w:t>Leyen</w:t>
      </w:r>
      <w:proofErr w:type="spellEnd"/>
      <w:r w:rsidRPr="00A36537">
        <w:rPr>
          <w:rFonts w:ascii="EHUSans" w:eastAsia="Times New Roman" w:hAnsi="EHUSans"/>
          <w:sz w:val="24"/>
          <w:szCs w:val="24"/>
          <w:lang w:eastAsia="es-ES"/>
        </w:rPr>
        <w:t xml:space="preserve">, anunció en la Cumbre Mundial sobre la Salud del G-20 una </w:t>
      </w:r>
      <w:hyperlink r:id="rId48" w:history="1">
        <w:r w:rsidRPr="00A36537">
          <w:rPr>
            <w:rFonts w:ascii="EHUSans" w:eastAsia="Times New Roman" w:hAnsi="EHUSans"/>
            <w:color w:val="0000FF"/>
            <w:sz w:val="24"/>
            <w:szCs w:val="24"/>
            <w:u w:val="single"/>
            <w:lang w:eastAsia="es-ES"/>
          </w:rPr>
          <w:t>iniciativa «Equipo Europa»</w:t>
        </w:r>
      </w:hyperlink>
      <w:r w:rsidRPr="00A36537">
        <w:rPr>
          <w:rFonts w:ascii="EHUSans" w:eastAsia="Times New Roman" w:hAnsi="EHUSans"/>
          <w:sz w:val="24"/>
          <w:szCs w:val="24"/>
          <w:lang w:eastAsia="es-ES"/>
        </w:rPr>
        <w:t xml:space="preserve"> sobre la fabricación y el acceso a vacunas, medicamentos y tecnologías sanitarias en África. La iniciativa ayudará a crear un entorno propicio para la fabricación local de vacunas en África y a superar los obstáculos tanto en la oferta como en la demanda, con el respaldo de 1 000 millones de euros con cargo al presupuesto de la UE y de las instituciones europeas de financiación del desarrollo. Este importe se reforzará gracias a contribuciones de los Estados miembros de la UE.</w:t>
      </w:r>
    </w:p>
    <w:p w:rsidR="00A36537" w:rsidRPr="00A36537" w:rsidRDefault="00A36537" w:rsidP="00A36537">
      <w:pPr>
        <w:numPr>
          <w:ilvl w:val="0"/>
          <w:numId w:val="1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20 de mayo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La Comisión firma un tercer contrato con </w:t>
      </w:r>
      <w:proofErr w:type="spellStart"/>
      <w:r w:rsidRPr="00A36537">
        <w:rPr>
          <w:rFonts w:ascii="EHUSans" w:eastAsia="Times New Roman" w:hAnsi="EHUSans"/>
          <w:b/>
          <w:bCs/>
          <w:sz w:val="24"/>
          <w:szCs w:val="24"/>
          <w:lang w:eastAsia="es-ES"/>
        </w:rPr>
        <w:t>BioNTech</w:t>
      </w:r>
      <w:proofErr w:type="spellEnd"/>
      <w:r w:rsidRPr="00A36537">
        <w:rPr>
          <w:rFonts w:ascii="EHUSans" w:eastAsia="Times New Roman" w:hAnsi="EHUSans"/>
          <w:b/>
          <w:bCs/>
          <w:sz w:val="24"/>
          <w:szCs w:val="24"/>
          <w:lang w:eastAsia="es-ES"/>
        </w:rPr>
        <w:t>-Pfizer para 1 800 millones de dosis adicionales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w:t>
      </w:r>
      <w:hyperlink r:id="rId49" w:history="1">
        <w:r w:rsidRPr="00A36537">
          <w:rPr>
            <w:rFonts w:ascii="EHUSans" w:eastAsia="Times New Roman" w:hAnsi="EHUSans"/>
            <w:color w:val="0000FF"/>
            <w:sz w:val="24"/>
            <w:szCs w:val="24"/>
            <w:u w:val="single"/>
            <w:lang w:eastAsia="es-ES"/>
          </w:rPr>
          <w:t>firmó un tercer contrato</w:t>
        </w:r>
      </w:hyperlink>
      <w:r w:rsidRPr="00A36537">
        <w:rPr>
          <w:rFonts w:ascii="EHUSans" w:eastAsia="Times New Roman" w:hAnsi="EHUSans"/>
          <w:sz w:val="24"/>
          <w:szCs w:val="24"/>
          <w:lang w:eastAsia="es-ES"/>
        </w:rPr>
        <w:t xml:space="preserve"> con las empresas farmacéuticas </w:t>
      </w:r>
      <w:proofErr w:type="spellStart"/>
      <w:r w:rsidRPr="00A36537">
        <w:rPr>
          <w:rFonts w:ascii="EHUSans" w:eastAsia="Times New Roman" w:hAnsi="EHUSans"/>
          <w:sz w:val="24"/>
          <w:szCs w:val="24"/>
          <w:lang w:eastAsia="es-ES"/>
        </w:rPr>
        <w:t>BioNTech</w:t>
      </w:r>
      <w:proofErr w:type="spellEnd"/>
      <w:r w:rsidRPr="00A36537">
        <w:rPr>
          <w:rFonts w:ascii="EHUSans" w:eastAsia="Times New Roman" w:hAnsi="EHUSans"/>
          <w:sz w:val="24"/>
          <w:szCs w:val="24"/>
          <w:lang w:eastAsia="es-ES"/>
        </w:rPr>
        <w:t xml:space="preserve"> y Pfizer, por el que se reservan 1 800 millones de dosis adicionales en nombre de todos los Estados miembros de la UE, entre finales de 2021 y 2023. El contrato permitirá comprar 900 millones de dosis de la vacuna actual y de una vacuna adaptada a las variantes, e incluye una opción de compra de 900 millones de dosis adicionales.</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Abril de 2021</w:t>
      </w:r>
    </w:p>
    <w:p w:rsidR="00A36537" w:rsidRPr="00A36537" w:rsidRDefault="00A36537" w:rsidP="00A36537">
      <w:pPr>
        <w:numPr>
          <w:ilvl w:val="0"/>
          <w:numId w:val="1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27 de abril</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UE canaliza el apoyo fundamental a la India a través del Mecanismo de Protección Civil de la UE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Los Estados miembros de la UE han preparado un </w:t>
      </w:r>
      <w:hyperlink r:id="rId50" w:history="1">
        <w:r w:rsidRPr="00A36537">
          <w:rPr>
            <w:rFonts w:ascii="EHUSans" w:eastAsia="Times New Roman" w:hAnsi="EHUSans"/>
            <w:color w:val="0000FF"/>
            <w:sz w:val="24"/>
            <w:szCs w:val="24"/>
            <w:u w:val="single"/>
            <w:lang w:eastAsia="es-ES"/>
          </w:rPr>
          <w:t>cargamento de oxígeno, medicamentos y equipos que la India necesita urgentemente</w:t>
        </w:r>
      </w:hyperlink>
      <w:r w:rsidRPr="00A36537">
        <w:rPr>
          <w:rFonts w:ascii="EHUSans" w:eastAsia="Times New Roman" w:hAnsi="EHUSans"/>
          <w:sz w:val="24"/>
          <w:szCs w:val="24"/>
          <w:lang w:eastAsia="es-ES"/>
        </w:rPr>
        <w:t xml:space="preserve"> y que se entregarán a dicho país, a raíz de la solicitud de apoyo que formuló través del Mecanismo de Protección Civil de la UE.</w:t>
      </w:r>
    </w:p>
    <w:p w:rsidR="00A36537" w:rsidRPr="00A36537" w:rsidRDefault="00A36537" w:rsidP="00A36537">
      <w:pPr>
        <w:numPr>
          <w:ilvl w:val="0"/>
          <w:numId w:val="1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20 de abril</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lastRenderedPageBreak/>
        <w:t>Garantizar más vacunas contra la COVID-19 en los Balcanes Occidentales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Se </w:t>
      </w:r>
      <w:hyperlink r:id="rId51" w:history="1">
        <w:r w:rsidRPr="00A36537">
          <w:rPr>
            <w:rFonts w:ascii="EHUSans" w:eastAsia="Times New Roman" w:hAnsi="EHUSans"/>
            <w:color w:val="0000FF"/>
            <w:sz w:val="24"/>
            <w:szCs w:val="24"/>
            <w:u w:val="single"/>
            <w:lang w:eastAsia="es-ES"/>
          </w:rPr>
          <w:t>compartirán con los Balcanes Occidentales</w:t>
        </w:r>
      </w:hyperlink>
      <w:r w:rsidRPr="00A36537">
        <w:rPr>
          <w:rFonts w:ascii="EHUSans" w:eastAsia="Times New Roman" w:hAnsi="EHUSans"/>
          <w:sz w:val="24"/>
          <w:szCs w:val="24"/>
          <w:lang w:eastAsia="es-ES"/>
        </w:rPr>
        <w:t xml:space="preserve"> 651 000 dosis de la vacuna de </w:t>
      </w:r>
      <w:proofErr w:type="spellStart"/>
      <w:r w:rsidRPr="00A36537">
        <w:rPr>
          <w:rFonts w:ascii="EHUSans" w:eastAsia="Times New Roman" w:hAnsi="EHUSans"/>
          <w:sz w:val="24"/>
          <w:szCs w:val="24"/>
          <w:lang w:eastAsia="es-ES"/>
        </w:rPr>
        <w:t>BioNTech</w:t>
      </w:r>
      <w:proofErr w:type="spellEnd"/>
      <w:r w:rsidRPr="00A36537">
        <w:rPr>
          <w:rFonts w:ascii="EHUSans" w:eastAsia="Times New Roman" w:hAnsi="EHUSans"/>
          <w:sz w:val="24"/>
          <w:szCs w:val="24"/>
          <w:lang w:eastAsia="es-ES"/>
        </w:rPr>
        <w:t xml:space="preserve"> y Pfizer, financiada por la Comisión Europea, con la ayuda de Austria. La primera entrega a todos los socios de la región está prevista en mayo y luego seguirán periódicamente otras hasta agosto.</w:t>
      </w:r>
    </w:p>
    <w:p w:rsidR="00A36537" w:rsidRPr="00A36537" w:rsidRDefault="00A36537" w:rsidP="00A36537">
      <w:pPr>
        <w:numPr>
          <w:ilvl w:val="0"/>
          <w:numId w:val="1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14 de abril</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está preparada para recaudar hasta 800 000 millones de euros destinados a la recuperación</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ha tomado medidas para garantizar que los préstamos en el marco del instrumento de recuperación temporal </w:t>
      </w:r>
      <w:proofErr w:type="spellStart"/>
      <w:r w:rsidRPr="00A36537">
        <w:rPr>
          <w:rFonts w:ascii="EHUSans" w:eastAsia="Times New Roman" w:hAnsi="EHUSans"/>
          <w:sz w:val="24"/>
          <w:szCs w:val="24"/>
          <w:lang w:eastAsia="es-ES"/>
        </w:rPr>
        <w:t>NextGenerationEU</w:t>
      </w:r>
      <w:proofErr w:type="spellEnd"/>
      <w:r w:rsidRPr="00A36537">
        <w:rPr>
          <w:rFonts w:ascii="EHUSans" w:eastAsia="Times New Roman" w:hAnsi="EHUSans"/>
          <w:sz w:val="24"/>
          <w:szCs w:val="24"/>
          <w:lang w:eastAsia="es-ES"/>
        </w:rPr>
        <w:t xml:space="preserve"> se financien en las condiciones más ventajosas para los países de la UE y sus ciudadanos. La Comisión utilizará una </w:t>
      </w:r>
      <w:hyperlink r:id="rId52" w:history="1">
        <w:r w:rsidRPr="00A36537">
          <w:rPr>
            <w:rFonts w:ascii="EHUSans" w:eastAsia="Times New Roman" w:hAnsi="EHUSans"/>
            <w:color w:val="0000FF"/>
            <w:sz w:val="24"/>
            <w:szCs w:val="24"/>
            <w:u w:val="single"/>
            <w:lang w:eastAsia="es-ES"/>
          </w:rPr>
          <w:t>estrategia de financiación diversificada</w:t>
        </w:r>
      </w:hyperlink>
      <w:r w:rsidRPr="00A36537">
        <w:rPr>
          <w:rFonts w:ascii="EHUSans" w:eastAsia="Times New Roman" w:hAnsi="EHUSans"/>
          <w:sz w:val="24"/>
          <w:szCs w:val="24"/>
          <w:lang w:eastAsia="es-ES"/>
        </w:rPr>
        <w:t xml:space="preserve"> para recaudar hasta unos 800 000 millones de euros a precios corrientes hasta 2026. Este enfoque permitirá a la Comisión aumentar los volúmenes necesarios de manera fluida y eficiente. Esto también atraerá a inversores a Europa y reforzará el papel internacional del euro.</w:t>
      </w:r>
    </w:p>
    <w:p w:rsidR="00A36537" w:rsidRPr="00A36537" w:rsidRDefault="00A36537" w:rsidP="00A36537">
      <w:pPr>
        <w:numPr>
          <w:ilvl w:val="0"/>
          <w:numId w:val="1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14 de abril</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Acelerar el suministro de vacunas </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ha alcanzado un acuerdo con </w:t>
      </w:r>
      <w:proofErr w:type="spellStart"/>
      <w:r w:rsidRPr="00A36537">
        <w:rPr>
          <w:rFonts w:ascii="EHUSans" w:eastAsia="Times New Roman" w:hAnsi="EHUSans"/>
          <w:sz w:val="24"/>
          <w:szCs w:val="24"/>
          <w:lang w:eastAsia="es-ES"/>
        </w:rPr>
        <w:t>BioNTech</w:t>
      </w:r>
      <w:proofErr w:type="spellEnd"/>
      <w:r w:rsidRPr="00A36537">
        <w:rPr>
          <w:rFonts w:ascii="EHUSans" w:eastAsia="Times New Roman" w:hAnsi="EHUSans"/>
          <w:sz w:val="24"/>
          <w:szCs w:val="24"/>
          <w:lang w:eastAsia="es-ES"/>
        </w:rPr>
        <w:t xml:space="preserve">-Pfizer para </w:t>
      </w:r>
      <w:hyperlink r:id="rId53" w:history="1">
        <w:r w:rsidRPr="00A36537">
          <w:rPr>
            <w:rFonts w:ascii="EHUSans" w:eastAsia="Times New Roman" w:hAnsi="EHUSans"/>
            <w:color w:val="0000FF"/>
            <w:sz w:val="24"/>
            <w:szCs w:val="24"/>
            <w:u w:val="single"/>
            <w:lang w:eastAsia="es-ES"/>
          </w:rPr>
          <w:t>acelerar el suministro de vacunas</w:t>
        </w:r>
      </w:hyperlink>
      <w:r w:rsidRPr="00A36537">
        <w:rPr>
          <w:rFonts w:ascii="EHUSans" w:eastAsia="Times New Roman" w:hAnsi="EHUSans"/>
          <w:sz w:val="24"/>
          <w:szCs w:val="24"/>
          <w:lang w:eastAsia="es-ES"/>
        </w:rPr>
        <w:t xml:space="preserve">. Los 50 millones de dosis adicionales inicialmente previstos para el cuarto trimestre de 2021 se entregarán en el segundo trimestre, a partir de abril. Preparándose para el futuro, la Comisión también anunció el inicio de la negociación de un tercer contrato con </w:t>
      </w:r>
      <w:proofErr w:type="spellStart"/>
      <w:r w:rsidRPr="00A36537">
        <w:rPr>
          <w:rFonts w:ascii="EHUSans" w:eastAsia="Times New Roman" w:hAnsi="EHUSans"/>
          <w:sz w:val="24"/>
          <w:szCs w:val="24"/>
          <w:lang w:eastAsia="es-ES"/>
        </w:rPr>
        <w:t>BioNTech</w:t>
      </w:r>
      <w:proofErr w:type="spellEnd"/>
      <w:r w:rsidRPr="00A36537">
        <w:rPr>
          <w:rFonts w:ascii="EHUSans" w:eastAsia="Times New Roman" w:hAnsi="EHUSans"/>
          <w:sz w:val="24"/>
          <w:szCs w:val="24"/>
          <w:lang w:eastAsia="es-ES"/>
        </w:rPr>
        <w:t>-Pfizer en el que se prevea la entrega de 1 800 millones de dosis de vacunas durante el período comprendido entre 2021 y 2023.</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Marzo de 2021</w:t>
      </w:r>
    </w:p>
    <w:p w:rsidR="00A36537" w:rsidRPr="00A36537" w:rsidRDefault="00A36537" w:rsidP="00A36537">
      <w:pPr>
        <w:numPr>
          <w:ilvl w:val="0"/>
          <w:numId w:val="20"/>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30 de marzo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Otros 13.000 millones de euros para seis países de la UE en el marco del instrumento SURE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abonó </w:t>
      </w:r>
      <w:hyperlink r:id="rId54" w:history="1">
        <w:r w:rsidRPr="00A36537">
          <w:rPr>
            <w:rFonts w:ascii="EHUSans" w:eastAsia="Times New Roman" w:hAnsi="EHUSans"/>
            <w:color w:val="0000FF"/>
            <w:sz w:val="24"/>
            <w:szCs w:val="24"/>
            <w:u w:val="single"/>
            <w:lang w:eastAsia="es-ES"/>
          </w:rPr>
          <w:t>13.000 millones de euros a seis países de la UE</w:t>
        </w:r>
      </w:hyperlink>
      <w:r w:rsidRPr="00A36537">
        <w:rPr>
          <w:rFonts w:ascii="EHUSans" w:eastAsia="Times New Roman" w:hAnsi="EHUSans"/>
          <w:sz w:val="24"/>
          <w:szCs w:val="24"/>
          <w:lang w:eastAsia="es-ES"/>
        </w:rPr>
        <w:t xml:space="preserve"> en el sexto tramo de la ayuda financiera en el marco del instrumento SURE. Fue el tercer pago de 2021. Chequia recibió 1.000 millones de euros; Bélgica, 2.200 millones de euros; España, 4.060 millones de euros; Irlanda, 2.470 millones de euros; Italia, 1.870 millones de euros, y Polonia, 1.400 </w:t>
      </w:r>
      <w:r w:rsidRPr="00A36537">
        <w:rPr>
          <w:rFonts w:ascii="EHUSans" w:eastAsia="Times New Roman" w:hAnsi="EHUSans"/>
          <w:sz w:val="24"/>
          <w:szCs w:val="24"/>
          <w:lang w:eastAsia="es-ES"/>
        </w:rPr>
        <w:lastRenderedPageBreak/>
        <w:t>millones de euros. Esta es la primera vez que Irlanda recibe financiación con cargo al instrumento. Los otros cinco países de la UE ya se habían beneficiado de préstamos con cargo al instrumento SURE.</w:t>
      </w:r>
    </w:p>
    <w:p w:rsidR="00A36537" w:rsidRPr="00A36537" w:rsidRDefault="00A36537" w:rsidP="00A36537">
      <w:pPr>
        <w:numPr>
          <w:ilvl w:val="0"/>
          <w:numId w:val="20"/>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27 de marzo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UE ayuda a entregar vacunas a Moldavia y productos sanitarios a Montenegro y Macedonia del Norte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UE ha ayudado a Rumanía a entregar 50.400 dosis de vacunas a Moldavia, después de que este país lo solicitara a través del </w:t>
      </w:r>
      <w:hyperlink r:id="rId55" w:history="1">
        <w:r w:rsidRPr="00A36537">
          <w:rPr>
            <w:rFonts w:ascii="EHUSans" w:eastAsia="Times New Roman" w:hAnsi="EHUSans"/>
            <w:color w:val="0000FF"/>
            <w:sz w:val="24"/>
            <w:szCs w:val="24"/>
            <w:u w:val="single"/>
            <w:lang w:eastAsia="es-ES"/>
          </w:rPr>
          <w:t>Mecanismo de Protección Civil de la Unión</w:t>
        </w:r>
      </w:hyperlink>
      <w:r w:rsidRPr="00A36537">
        <w:rPr>
          <w:rFonts w:ascii="EHUSans" w:eastAsia="Times New Roman" w:hAnsi="EHUSans"/>
          <w:sz w:val="24"/>
          <w:szCs w:val="24"/>
          <w:lang w:eastAsia="es-ES"/>
        </w:rPr>
        <w:t xml:space="preserve">. La Comisión coordina y financia hasta el 75 % de los costes del transporte de la ayuda. La UE también ha movilizado su reserva médica </w:t>
      </w:r>
      <w:hyperlink r:id="rId56" w:history="1">
        <w:proofErr w:type="spellStart"/>
        <w:r w:rsidRPr="00A36537">
          <w:rPr>
            <w:rFonts w:ascii="EHUSans" w:eastAsia="Times New Roman" w:hAnsi="EHUSans"/>
            <w:color w:val="0000FF"/>
            <w:sz w:val="24"/>
            <w:szCs w:val="24"/>
            <w:u w:val="single"/>
            <w:lang w:eastAsia="es-ES"/>
          </w:rPr>
          <w:t>rescEU</w:t>
        </w:r>
        <w:proofErr w:type="spellEnd"/>
      </w:hyperlink>
      <w:r w:rsidRPr="00A36537">
        <w:rPr>
          <w:rFonts w:ascii="EHUSans" w:eastAsia="Times New Roman" w:hAnsi="EHUSans"/>
          <w:sz w:val="24"/>
          <w:szCs w:val="24"/>
          <w:lang w:eastAsia="es-ES"/>
        </w:rPr>
        <w:t xml:space="preserve"> para entregar productos sanitarios a Macedonia del Norte y Montenegro y ayudarles a hacer frente a la pandemia.</w:t>
      </w:r>
    </w:p>
    <w:p w:rsidR="00A36537" w:rsidRPr="00A36537" w:rsidRDefault="00A36537" w:rsidP="00A36537">
      <w:pPr>
        <w:numPr>
          <w:ilvl w:val="0"/>
          <w:numId w:val="20"/>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24 de marzo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Nuevo procedimiento para facilitar y acelerar la aprobación de vacunas adaptadas contra las nuevas variantes de la COVID-19</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w:t>
      </w:r>
      <w:hyperlink r:id="rId57" w:history="1">
        <w:r w:rsidRPr="00A36537">
          <w:rPr>
            <w:rFonts w:ascii="EHUSans" w:eastAsia="Times New Roman" w:hAnsi="EHUSans"/>
            <w:color w:val="0000FF"/>
            <w:sz w:val="24"/>
            <w:szCs w:val="24"/>
            <w:u w:val="single"/>
            <w:lang w:eastAsia="es-ES"/>
          </w:rPr>
          <w:t>ha introducido una medida</w:t>
        </w:r>
      </w:hyperlink>
      <w:r w:rsidRPr="00A36537">
        <w:rPr>
          <w:rFonts w:ascii="EHUSans" w:eastAsia="Times New Roman" w:hAnsi="EHUSans"/>
          <w:sz w:val="24"/>
          <w:szCs w:val="24"/>
          <w:lang w:eastAsia="es-ES"/>
        </w:rPr>
        <w:t xml:space="preserve"> para acelerar la autorización de vacunas contra la COVID-19 adaptadas. Esta medida debe permitir a las empresas centrarse en recopilar en el tiempo debido todas las pruebas necesarias y que las vacunas adaptadas se autoricen presentando un conjunto más reducido de datos adicionales a la Agencia Europea de Medicamentos</w:t>
      </w:r>
    </w:p>
    <w:p w:rsidR="00A36537" w:rsidRPr="00A36537" w:rsidRDefault="00A36537" w:rsidP="00A36537">
      <w:pPr>
        <w:numPr>
          <w:ilvl w:val="0"/>
          <w:numId w:val="20"/>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24 de marzo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Refuerzo del mecanismo de transparencia y autorización para las exportaciones de vacunas contra la COVID-19</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ha introducido </w:t>
      </w:r>
      <w:hyperlink r:id="rId58" w:history="1">
        <w:r w:rsidRPr="00A36537">
          <w:rPr>
            <w:rFonts w:ascii="EHUSans" w:eastAsia="Times New Roman" w:hAnsi="EHUSans"/>
            <w:color w:val="0000FF"/>
            <w:sz w:val="24"/>
            <w:szCs w:val="24"/>
            <w:u w:val="single"/>
            <w:lang w:eastAsia="es-ES"/>
          </w:rPr>
          <w:t>los principios de reciprocidad y proporcionalidad</w:t>
        </w:r>
      </w:hyperlink>
      <w:r w:rsidRPr="00A36537">
        <w:rPr>
          <w:rFonts w:ascii="EHUSans" w:eastAsia="Times New Roman" w:hAnsi="EHUSans"/>
          <w:sz w:val="24"/>
          <w:szCs w:val="24"/>
          <w:lang w:eastAsia="es-ES"/>
        </w:rPr>
        <w:t xml:space="preserve"> como nuevos criterios que deben tenerse en cuenta para autorizar las exportaciones en el marco del mecanismo de transparencia y autorización para las exportaciones de vacunas contra la COVID-19. Si bien este sistema ha mejorado considerablemente la transparencia de las exportaciones, aún no se ha alcanzado el objetivo de garantizar el acceso rápido a las vacunas contra la COVID-19 para los ciudadanos de la UE.</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Febrero de 2021</w:t>
      </w:r>
    </w:p>
    <w:p w:rsidR="00A36537" w:rsidRPr="00A36537" w:rsidRDefault="00A36537" w:rsidP="00A36537">
      <w:pPr>
        <w:numPr>
          <w:ilvl w:val="0"/>
          <w:numId w:val="2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19 de febrero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lastRenderedPageBreak/>
        <w:t>La UE duplica su contribución al COVAX hasta llegar a 1 000 millones de euros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UE </w:t>
      </w:r>
      <w:hyperlink r:id="rId59" w:history="1">
        <w:r w:rsidRPr="00A36537">
          <w:rPr>
            <w:rFonts w:ascii="EHUSans" w:eastAsia="Times New Roman" w:hAnsi="EHUSans"/>
            <w:color w:val="0000FF"/>
            <w:sz w:val="24"/>
            <w:szCs w:val="24"/>
            <w:u w:val="single"/>
            <w:lang w:eastAsia="es-ES"/>
          </w:rPr>
          <w:t>anunció</w:t>
        </w:r>
      </w:hyperlink>
      <w:r w:rsidRPr="00A36537">
        <w:rPr>
          <w:rFonts w:ascii="EHUSans" w:eastAsia="Times New Roman" w:hAnsi="EHUSans"/>
          <w:sz w:val="24"/>
          <w:szCs w:val="24"/>
          <w:lang w:eastAsia="es-ES"/>
        </w:rPr>
        <w:t xml:space="preserve"> que contribuiría con 500 millones de euros más al Mecanismo COVAX, duplicando su contribución a esta iniciativa mundial. El COVAX está liderando los esfuerzos para garantizar un acceso justo y equitativo a vacunas contra la COVID-19 en los países de renta baja y media. El Equipo Europa es uno de los principales financiadores del COVAX, con más de 2 200 millones de euros.</w:t>
      </w:r>
    </w:p>
    <w:p w:rsidR="00A36537" w:rsidRPr="00A36537" w:rsidRDefault="00A36537" w:rsidP="00A36537">
      <w:pPr>
        <w:numPr>
          <w:ilvl w:val="0"/>
          <w:numId w:val="2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17 de febrero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Segundo contrato con Moderna para garantizar dosis adicionales de vacunas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aprobó un segundo contrato con la empresa farmacéutica </w:t>
      </w:r>
      <w:hyperlink r:id="rId60" w:history="1">
        <w:r w:rsidRPr="00A36537">
          <w:rPr>
            <w:rFonts w:ascii="EHUSans" w:eastAsia="Times New Roman" w:hAnsi="EHUSans"/>
            <w:color w:val="0000FF"/>
            <w:sz w:val="24"/>
            <w:szCs w:val="24"/>
            <w:u w:val="single"/>
            <w:lang w:eastAsia="es-ES"/>
          </w:rPr>
          <w:t>Moderna</w:t>
        </w:r>
      </w:hyperlink>
      <w:r w:rsidRPr="00A36537">
        <w:rPr>
          <w:rFonts w:ascii="EHUSans" w:eastAsia="Times New Roman" w:hAnsi="EHUSans"/>
          <w:sz w:val="24"/>
          <w:szCs w:val="24"/>
          <w:lang w:eastAsia="es-ES"/>
        </w:rPr>
        <w:t>, que prevé una compra adicional de 300 millones de dosis (150 millones en 2021 y una opción de compra adicional de 150 millones en 2022) en nombre de todos los Estados miembros de la UE. El nuevo contrato prevé asimismo la posibilidad de donar dosis de vacuna a países con rentas medias y bajas o de transferirlas a otros países europeos.</w:t>
      </w:r>
    </w:p>
    <w:p w:rsidR="00A36537" w:rsidRPr="00A36537" w:rsidRDefault="00A36537" w:rsidP="00A36537">
      <w:pPr>
        <w:numPr>
          <w:ilvl w:val="0"/>
          <w:numId w:val="2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17 de febrero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Lanzamiento de la «Incubadora HERA»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Para preparar a Europa ante la amenaza creciente de las variantes del coronavirus, la Comisión propuso medidas inmediatas, en particular a través del </w:t>
      </w:r>
      <w:r w:rsidRPr="00A36537">
        <w:rPr>
          <w:rFonts w:ascii="EHUSans" w:eastAsia="Times New Roman" w:hAnsi="EHUSans"/>
          <w:b/>
          <w:bCs/>
          <w:sz w:val="24"/>
          <w:szCs w:val="24"/>
          <w:lang w:eastAsia="es-ES"/>
        </w:rPr>
        <w:t>Plan europeo de preparación en materia de biodefensa</w:t>
      </w:r>
      <w:r w:rsidRPr="00A36537">
        <w:rPr>
          <w:rFonts w:ascii="EHUSans" w:eastAsia="Times New Roman" w:hAnsi="EHUSans"/>
          <w:sz w:val="24"/>
          <w:szCs w:val="24"/>
          <w:lang w:eastAsia="es-ES"/>
        </w:rPr>
        <w:t xml:space="preserve">, denominado </w:t>
      </w:r>
      <w:hyperlink r:id="rId61" w:history="1">
        <w:r w:rsidRPr="00A36537">
          <w:rPr>
            <w:rFonts w:ascii="EHUSans" w:eastAsia="Times New Roman" w:hAnsi="EHUSans"/>
            <w:b/>
            <w:bCs/>
            <w:color w:val="0000FF"/>
            <w:sz w:val="24"/>
            <w:szCs w:val="24"/>
            <w:u w:val="single"/>
            <w:lang w:eastAsia="es-ES"/>
          </w:rPr>
          <w:t>«Incubadora HERA»</w:t>
        </w:r>
      </w:hyperlink>
      <w:r w:rsidRPr="00A36537">
        <w:rPr>
          <w:rFonts w:ascii="EHUSans" w:eastAsia="Times New Roman" w:hAnsi="EHUSans"/>
          <w:sz w:val="24"/>
          <w:szCs w:val="24"/>
          <w:lang w:eastAsia="es-ES"/>
        </w:rPr>
        <w:t>. La Incubadora HERA trabajará con investigadores, empresas biotecnológicas, fabricantes y autoridades públicas de la UE y a nivel mundial para detectar nuevas variantes, proporcionar incentivos para desarrollar vacunas nuevas y adaptadas, acelerar su proceso de aprobación y garantizar el aumento de la capacidad de fabricación.</w:t>
      </w:r>
    </w:p>
    <w:p w:rsidR="00A36537" w:rsidRPr="00A36537" w:rsidRDefault="00A36537" w:rsidP="00A36537">
      <w:pPr>
        <w:numPr>
          <w:ilvl w:val="0"/>
          <w:numId w:val="2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11 de febrero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El Consejo adopta el Mecanismo de Recuperación y Resiliencia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El Consejo </w:t>
      </w:r>
      <w:hyperlink r:id="rId62" w:history="1">
        <w:r w:rsidRPr="00A36537">
          <w:rPr>
            <w:rFonts w:ascii="EHUSans" w:eastAsia="Times New Roman" w:hAnsi="EHUSans"/>
            <w:color w:val="0000FF"/>
            <w:sz w:val="24"/>
            <w:szCs w:val="24"/>
            <w:u w:val="single"/>
            <w:lang w:eastAsia="es-ES"/>
          </w:rPr>
          <w:t>adoptó el Reglamento</w:t>
        </w:r>
      </w:hyperlink>
      <w:r w:rsidRPr="00A36537">
        <w:rPr>
          <w:rFonts w:ascii="EHUSans" w:eastAsia="Times New Roman" w:hAnsi="EHUSans"/>
          <w:sz w:val="24"/>
          <w:szCs w:val="24"/>
          <w:lang w:eastAsia="es-ES"/>
        </w:rPr>
        <w:t xml:space="preserve"> por el que se establece el </w:t>
      </w:r>
      <w:hyperlink r:id="rId63" w:history="1">
        <w:r w:rsidRPr="00A36537">
          <w:rPr>
            <w:rFonts w:ascii="EHUSans" w:eastAsia="Times New Roman" w:hAnsi="EHUSans"/>
            <w:color w:val="0000FF"/>
            <w:sz w:val="24"/>
            <w:szCs w:val="24"/>
            <w:u w:val="single"/>
            <w:lang w:eastAsia="es-ES"/>
          </w:rPr>
          <w:t>Mecanismo de Recuperación y Resiliencia</w:t>
        </w:r>
      </w:hyperlink>
      <w:r w:rsidRPr="00A36537">
        <w:rPr>
          <w:rFonts w:ascii="EHUSans" w:eastAsia="Times New Roman" w:hAnsi="EHUSans"/>
          <w:sz w:val="24"/>
          <w:szCs w:val="24"/>
          <w:lang w:eastAsia="es-ES"/>
        </w:rPr>
        <w:t xml:space="preserve">, que constituye el núcleo del plan de recuperación de la UE. El Mecanismo pondrá a disposición 672 500 millones de euros en subvenciones y préstamos para la inversión pública y las reformas en los 27 países de la UE, a fin de ayudarles a superar el impacto de la pandemia de COVID-19, fomentar la transición ecológica y la digital y construir sociedades </w:t>
      </w:r>
      <w:proofErr w:type="spellStart"/>
      <w:r w:rsidRPr="00A36537">
        <w:rPr>
          <w:rFonts w:ascii="EHUSans" w:eastAsia="Times New Roman" w:hAnsi="EHUSans"/>
          <w:sz w:val="24"/>
          <w:szCs w:val="24"/>
          <w:lang w:eastAsia="es-ES"/>
        </w:rPr>
        <w:t>resilientes</w:t>
      </w:r>
      <w:proofErr w:type="spellEnd"/>
      <w:r w:rsidRPr="00A36537">
        <w:rPr>
          <w:rFonts w:ascii="EHUSans" w:eastAsia="Times New Roman" w:hAnsi="EHUSans"/>
          <w:sz w:val="24"/>
          <w:szCs w:val="24"/>
          <w:lang w:eastAsia="es-ES"/>
        </w:rPr>
        <w:t xml:space="preserve"> e inclusivas. Los países de la </w:t>
      </w:r>
      <w:r w:rsidRPr="00A36537">
        <w:rPr>
          <w:rFonts w:ascii="EHUSans" w:eastAsia="Times New Roman" w:hAnsi="EHUSans"/>
          <w:sz w:val="24"/>
          <w:szCs w:val="24"/>
          <w:lang w:eastAsia="es-ES"/>
        </w:rPr>
        <w:lastRenderedPageBreak/>
        <w:t>UE recibirán ayuda del mecanismo sobre la base de sus planes nacionales de recuperación y resiliencia, que se encuentran actualmente en fase de preparación.</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Enero de 2021</w:t>
      </w:r>
    </w:p>
    <w:p w:rsidR="00A36537" w:rsidRPr="00A36537" w:rsidRDefault="00A36537" w:rsidP="00A36537">
      <w:pPr>
        <w:numPr>
          <w:ilvl w:val="0"/>
          <w:numId w:val="2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12 de enero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La Comisión concluye conversaciones exploratorias con </w:t>
      </w:r>
      <w:proofErr w:type="spellStart"/>
      <w:r w:rsidRPr="00A36537">
        <w:rPr>
          <w:rFonts w:ascii="EHUSans" w:eastAsia="Times New Roman" w:hAnsi="EHUSans"/>
          <w:b/>
          <w:bCs/>
          <w:sz w:val="24"/>
          <w:szCs w:val="24"/>
          <w:lang w:eastAsia="es-ES"/>
        </w:rPr>
        <w:t>Valneva</w:t>
      </w:r>
      <w:proofErr w:type="spellEnd"/>
      <w:r w:rsidRPr="00A36537">
        <w:rPr>
          <w:rFonts w:ascii="EHUSans" w:eastAsia="Times New Roman" w:hAnsi="EHUSans"/>
          <w:b/>
          <w:bCs/>
          <w:sz w:val="24"/>
          <w:szCs w:val="24"/>
          <w:lang w:eastAsia="es-ES"/>
        </w:rPr>
        <w:t xml:space="preserve"> para garantizar una posible nueva vacuna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w:t>
      </w:r>
      <w:hyperlink r:id="rId64" w:history="1">
        <w:r w:rsidRPr="00A36537">
          <w:rPr>
            <w:rFonts w:ascii="EHUSans" w:eastAsia="Times New Roman" w:hAnsi="EHUSans"/>
            <w:color w:val="0000FF"/>
            <w:sz w:val="24"/>
            <w:szCs w:val="24"/>
            <w:u w:val="single"/>
            <w:lang w:eastAsia="es-ES"/>
          </w:rPr>
          <w:t>concluyó las conversaciones exploratorias</w:t>
        </w:r>
      </w:hyperlink>
      <w:r w:rsidRPr="00A36537">
        <w:rPr>
          <w:rFonts w:ascii="EHUSans" w:eastAsia="Times New Roman" w:hAnsi="EHUSans"/>
          <w:sz w:val="24"/>
          <w:szCs w:val="24"/>
          <w:lang w:eastAsia="es-ES"/>
        </w:rPr>
        <w:t xml:space="preserve"> con la empresa farmacéutica </w:t>
      </w:r>
      <w:proofErr w:type="spellStart"/>
      <w:r w:rsidRPr="00A36537">
        <w:rPr>
          <w:rFonts w:ascii="EHUSans" w:eastAsia="Times New Roman" w:hAnsi="EHUSans"/>
          <w:sz w:val="24"/>
          <w:szCs w:val="24"/>
          <w:lang w:eastAsia="es-ES"/>
        </w:rPr>
        <w:t>Valneva</w:t>
      </w:r>
      <w:proofErr w:type="spellEnd"/>
      <w:r w:rsidRPr="00A36537">
        <w:rPr>
          <w:rFonts w:ascii="EHUSans" w:eastAsia="Times New Roman" w:hAnsi="EHUSans"/>
          <w:sz w:val="24"/>
          <w:szCs w:val="24"/>
          <w:lang w:eastAsia="es-ES"/>
        </w:rPr>
        <w:t xml:space="preserve"> con vistas a adquirir su posible vacuna contra la COVID-19. El contrato previsto con </w:t>
      </w:r>
      <w:proofErr w:type="spellStart"/>
      <w:r w:rsidRPr="00A36537">
        <w:rPr>
          <w:rFonts w:ascii="EHUSans" w:eastAsia="Times New Roman" w:hAnsi="EHUSans"/>
          <w:sz w:val="24"/>
          <w:szCs w:val="24"/>
          <w:lang w:eastAsia="es-ES"/>
        </w:rPr>
        <w:t>Valneva</w:t>
      </w:r>
      <w:proofErr w:type="spellEnd"/>
      <w:r w:rsidRPr="00A36537">
        <w:rPr>
          <w:rFonts w:ascii="EHUSans" w:eastAsia="Times New Roman" w:hAnsi="EHUSans"/>
          <w:sz w:val="24"/>
          <w:szCs w:val="24"/>
          <w:lang w:eastAsia="es-ES"/>
        </w:rPr>
        <w:t xml:space="preserve"> ofrecería a todos los Estados miembros de la UE la posibilidad de adquirir conjuntamente 30 millones de dosis, con una opción de comprar hasta 30 millones de dosis suplementarias.</w:t>
      </w:r>
    </w:p>
    <w:p w:rsidR="00A36537" w:rsidRPr="00A36537" w:rsidRDefault="00A36537" w:rsidP="00A36537">
      <w:pPr>
        <w:numPr>
          <w:ilvl w:val="0"/>
          <w:numId w:val="2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11 de enero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La reserva médica </w:t>
      </w:r>
      <w:proofErr w:type="spellStart"/>
      <w:r w:rsidRPr="00A36537">
        <w:rPr>
          <w:rFonts w:ascii="EHUSans" w:eastAsia="Times New Roman" w:hAnsi="EHUSans"/>
          <w:b/>
          <w:bCs/>
          <w:sz w:val="24"/>
          <w:szCs w:val="24"/>
          <w:lang w:eastAsia="es-ES"/>
        </w:rPr>
        <w:t>rescEU</w:t>
      </w:r>
      <w:proofErr w:type="spellEnd"/>
      <w:r w:rsidRPr="00A36537">
        <w:rPr>
          <w:rFonts w:ascii="EHUSans" w:eastAsia="Times New Roman" w:hAnsi="EHUSans"/>
          <w:b/>
          <w:bCs/>
          <w:sz w:val="24"/>
          <w:szCs w:val="24"/>
          <w:lang w:eastAsia="es-ES"/>
        </w:rPr>
        <w:t xml:space="preserve"> se extiende a cuatro Estados miembros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Bélgica, los Países Bajos y Eslovenia serán los nuevos países de acogida de los </w:t>
      </w:r>
      <w:hyperlink r:id="rId65" w:history="1">
        <w:r w:rsidRPr="00A36537">
          <w:rPr>
            <w:rFonts w:ascii="EHUSans" w:eastAsia="Times New Roman" w:hAnsi="EHUSans"/>
            <w:color w:val="0000FF"/>
            <w:sz w:val="24"/>
            <w:szCs w:val="24"/>
            <w:u w:val="single"/>
            <w:lang w:eastAsia="es-ES"/>
          </w:rPr>
          <w:t xml:space="preserve">suministros médicos de </w:t>
        </w:r>
        <w:proofErr w:type="spellStart"/>
        <w:r w:rsidRPr="00A36537">
          <w:rPr>
            <w:rFonts w:ascii="EHUSans" w:eastAsia="Times New Roman" w:hAnsi="EHUSans"/>
            <w:color w:val="0000FF"/>
            <w:sz w:val="24"/>
            <w:szCs w:val="24"/>
            <w:u w:val="single"/>
            <w:lang w:eastAsia="es-ES"/>
          </w:rPr>
          <w:t>rescEU</w:t>
        </w:r>
        <w:proofErr w:type="spellEnd"/>
      </w:hyperlink>
      <w:r w:rsidRPr="00A36537">
        <w:rPr>
          <w:rFonts w:ascii="EHUSans" w:eastAsia="Times New Roman" w:hAnsi="EHUSans"/>
          <w:sz w:val="24"/>
          <w:szCs w:val="24"/>
          <w:lang w:eastAsia="es-ES"/>
        </w:rPr>
        <w:t xml:space="preserve">. Además, Alemania —que ya es un país de acogida de </w:t>
      </w:r>
      <w:proofErr w:type="spellStart"/>
      <w:r w:rsidRPr="00A36537">
        <w:rPr>
          <w:rFonts w:ascii="EHUSans" w:eastAsia="Times New Roman" w:hAnsi="EHUSans"/>
          <w:sz w:val="24"/>
          <w:szCs w:val="24"/>
          <w:lang w:eastAsia="es-ES"/>
        </w:rPr>
        <w:t>rescEU</w:t>
      </w:r>
      <w:proofErr w:type="spellEnd"/>
      <w:r w:rsidRPr="00A36537">
        <w:rPr>
          <w:rFonts w:ascii="EHUSans" w:eastAsia="Times New Roman" w:hAnsi="EHUSans"/>
          <w:sz w:val="24"/>
          <w:szCs w:val="24"/>
          <w:lang w:eastAsia="es-ES"/>
        </w:rPr>
        <w:t xml:space="preserve">— albergará una segunda reserva médica. Actualmente un total de nueve países que albergan reservas comunes europeas de equipos médicos. La reserva común europea de equipos médicos de salvamento se distribuye por toda Europa en situaciones de emergencia médica, por </w:t>
      </w:r>
      <w:proofErr w:type="gramStart"/>
      <w:r w:rsidRPr="00A36537">
        <w:rPr>
          <w:rFonts w:ascii="EHUSans" w:eastAsia="Times New Roman" w:hAnsi="EHUSans"/>
          <w:sz w:val="24"/>
          <w:szCs w:val="24"/>
          <w:lang w:eastAsia="es-ES"/>
        </w:rPr>
        <w:t>ejemplo</w:t>
      </w:r>
      <w:proofErr w:type="gramEnd"/>
      <w:r w:rsidRPr="00A36537">
        <w:rPr>
          <w:rFonts w:ascii="EHUSans" w:eastAsia="Times New Roman" w:hAnsi="EHUSans"/>
          <w:sz w:val="24"/>
          <w:szCs w:val="24"/>
          <w:lang w:eastAsia="es-ES"/>
        </w:rPr>
        <w:t xml:space="preserve"> cuando los sistemas sanitarios nacionales están desbordados por pacientes de coronavirus.</w:t>
      </w:r>
    </w:p>
    <w:p w:rsidR="00A36537" w:rsidRPr="00A36537" w:rsidRDefault="00A36537" w:rsidP="00A36537">
      <w:pPr>
        <w:numPr>
          <w:ilvl w:val="0"/>
          <w:numId w:val="2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8 de enero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300 millones de dosis adicionales de la vacuna de </w:t>
      </w:r>
      <w:proofErr w:type="spellStart"/>
      <w:r w:rsidRPr="00A36537">
        <w:rPr>
          <w:rFonts w:ascii="EHUSans" w:eastAsia="Times New Roman" w:hAnsi="EHUSans"/>
          <w:b/>
          <w:bCs/>
          <w:sz w:val="24"/>
          <w:szCs w:val="24"/>
          <w:lang w:eastAsia="es-ES"/>
        </w:rPr>
        <w:t>BioNTech</w:t>
      </w:r>
      <w:proofErr w:type="spellEnd"/>
      <w:r w:rsidRPr="00A36537">
        <w:rPr>
          <w:rFonts w:ascii="EHUSans" w:eastAsia="Times New Roman" w:hAnsi="EHUSans"/>
          <w:b/>
          <w:bCs/>
          <w:sz w:val="24"/>
          <w:szCs w:val="24"/>
          <w:lang w:eastAsia="es-ES"/>
        </w:rPr>
        <w:t>-Pfizer</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w:t>
      </w:r>
      <w:hyperlink r:id="rId66" w:history="1">
        <w:r w:rsidRPr="00A36537">
          <w:rPr>
            <w:rFonts w:ascii="EHUSans" w:eastAsia="Times New Roman" w:hAnsi="EHUSans"/>
            <w:color w:val="0000FF"/>
            <w:sz w:val="24"/>
            <w:szCs w:val="24"/>
            <w:u w:val="single"/>
            <w:lang w:eastAsia="es-ES"/>
          </w:rPr>
          <w:t>propuso a los países de la UE</w:t>
        </w:r>
      </w:hyperlink>
      <w:r w:rsidRPr="00A36537">
        <w:rPr>
          <w:rFonts w:ascii="EHUSans" w:eastAsia="Times New Roman" w:hAnsi="EHUSans"/>
          <w:sz w:val="24"/>
          <w:szCs w:val="24"/>
          <w:lang w:eastAsia="es-ES"/>
        </w:rPr>
        <w:t xml:space="preserve"> la adquisición de 200 millones de dosis adicionales de la vacuna contra la COVID-19 producida por </w:t>
      </w:r>
      <w:proofErr w:type="spellStart"/>
      <w:r w:rsidRPr="00A36537">
        <w:rPr>
          <w:rFonts w:ascii="EHUSans" w:eastAsia="Times New Roman" w:hAnsi="EHUSans"/>
          <w:sz w:val="24"/>
          <w:szCs w:val="24"/>
          <w:lang w:eastAsia="es-ES"/>
        </w:rPr>
        <w:t>BioNTech</w:t>
      </w:r>
      <w:proofErr w:type="spellEnd"/>
      <w:r w:rsidRPr="00A36537">
        <w:rPr>
          <w:rFonts w:ascii="EHUSans" w:eastAsia="Times New Roman" w:hAnsi="EHUSans"/>
          <w:sz w:val="24"/>
          <w:szCs w:val="24"/>
          <w:lang w:eastAsia="es-ES"/>
        </w:rPr>
        <w:t xml:space="preserve"> y Pfizer, con la opción de compra de otros 100 millones de dosis. Esto permitirá a la UE adquirir hasta 600 millones de dosis de esta vacuna, que ya se está utilizando en toda la Unión.</w:t>
      </w:r>
    </w:p>
    <w:p w:rsidR="00A36537" w:rsidRPr="00A36537" w:rsidRDefault="00A36537" w:rsidP="00A36537">
      <w:pPr>
        <w:numPr>
          <w:ilvl w:val="0"/>
          <w:numId w:val="2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6 de enero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Autorizada una segunda vacuna segura y eficaz contra la COVID-19</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concedió una autorización condicional de comercialización para la </w:t>
      </w:r>
      <w:hyperlink r:id="rId67" w:history="1">
        <w:r w:rsidRPr="00A36537">
          <w:rPr>
            <w:rFonts w:ascii="EHUSans" w:eastAsia="Times New Roman" w:hAnsi="EHUSans"/>
            <w:color w:val="0000FF"/>
            <w:sz w:val="24"/>
            <w:szCs w:val="24"/>
            <w:u w:val="single"/>
            <w:lang w:eastAsia="es-ES"/>
          </w:rPr>
          <w:t xml:space="preserve">vacuna contra la COVID-19 desarrollada por </w:t>
        </w:r>
        <w:r w:rsidRPr="00A36537">
          <w:rPr>
            <w:rFonts w:ascii="EHUSans" w:eastAsia="Times New Roman" w:hAnsi="EHUSans"/>
            <w:color w:val="0000FF"/>
            <w:sz w:val="24"/>
            <w:szCs w:val="24"/>
            <w:u w:val="single"/>
            <w:lang w:eastAsia="es-ES"/>
          </w:rPr>
          <w:lastRenderedPageBreak/>
          <w:t>Moderna</w:t>
        </w:r>
      </w:hyperlink>
      <w:r w:rsidRPr="00A36537">
        <w:rPr>
          <w:rFonts w:ascii="EHUSans" w:eastAsia="Times New Roman" w:hAnsi="EHUSans"/>
          <w:sz w:val="24"/>
          <w:szCs w:val="24"/>
          <w:lang w:eastAsia="es-ES"/>
        </w:rPr>
        <w:t>, que se convierte así en la segunda vacuna contra la COVID-19 cuyo uso se autoriza en la UE. Esta autorización, que está respaldada por los países de la UE, responde a la recomendación científica positiva de la Agencia Europea de Medicamentos, basada en una rigurosa evaluación de la seguridad, eficacia y calidad de la vacuna.</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Diciembre</w:t>
      </w:r>
    </w:p>
    <w:p w:rsidR="00A36537" w:rsidRPr="00A36537" w:rsidRDefault="00A36537" w:rsidP="00A36537">
      <w:pPr>
        <w:numPr>
          <w:ilvl w:val="0"/>
          <w:numId w:val="23"/>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28 de diciembre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Paquete de 70 millones de euros para un acceso rápido a las vacunas de la UE contra la COVID-19 en los Balcanes Occidentales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adoptó un </w:t>
      </w:r>
      <w:hyperlink r:id="rId68" w:history="1">
        <w:r w:rsidRPr="00A36537">
          <w:rPr>
            <w:rFonts w:ascii="EHUSans" w:eastAsia="Times New Roman" w:hAnsi="EHUSans"/>
            <w:color w:val="0000FF"/>
            <w:sz w:val="24"/>
            <w:szCs w:val="24"/>
            <w:u w:val="single"/>
            <w:lang w:eastAsia="es-ES"/>
          </w:rPr>
          <w:t>paquete de 70 millones de euros</w:t>
        </w:r>
      </w:hyperlink>
      <w:r w:rsidRPr="00A36537">
        <w:rPr>
          <w:rFonts w:ascii="EHUSans" w:eastAsia="Times New Roman" w:hAnsi="EHUSans"/>
          <w:sz w:val="24"/>
          <w:szCs w:val="24"/>
          <w:lang w:eastAsia="es-ES"/>
        </w:rPr>
        <w:t xml:space="preserve"> en el marco del Instrumento de Preadhesión (IAP II) para ayudar a financiar el acceso de los socios de los Balcanes Occidentales a las vacunas contra la COVID-19 adquiridas por los países de la UE. Esto contribuirá a cubrir el coste de las vacunas para los grupos prioritarios y de los equipos de vacunación necesarios.</w:t>
      </w:r>
    </w:p>
    <w:p w:rsidR="00A36537" w:rsidRPr="00A36537" w:rsidRDefault="00A36537" w:rsidP="00A36537">
      <w:pPr>
        <w:numPr>
          <w:ilvl w:val="0"/>
          <w:numId w:val="23"/>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22 de diciembre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Recomendación sobre el enfoque coordinado de la UE en materia de viajes y transportes en respuesta a la nueva variante del coronavirus en el Reino Unido</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Tras el rápido aumento de los casos de COVID-19 en algunas zonas de Inglaterra, una gran parte de los cuales pertenece a una nueva variante del virus, la </w:t>
      </w:r>
      <w:hyperlink r:id="rId69" w:history="1">
        <w:r w:rsidRPr="00A36537">
          <w:rPr>
            <w:rFonts w:ascii="EHUSans" w:eastAsia="Times New Roman" w:hAnsi="EHUSans"/>
            <w:color w:val="0000FF"/>
            <w:sz w:val="24"/>
            <w:szCs w:val="24"/>
            <w:u w:val="single"/>
            <w:lang w:eastAsia="es-ES"/>
          </w:rPr>
          <w:t>Comisión adoptó una Recomendación</w:t>
        </w:r>
      </w:hyperlink>
      <w:r w:rsidRPr="00A36537">
        <w:rPr>
          <w:rFonts w:ascii="EHUSans" w:eastAsia="Times New Roman" w:hAnsi="EHUSans"/>
          <w:sz w:val="24"/>
          <w:szCs w:val="24"/>
          <w:lang w:eastAsia="es-ES"/>
        </w:rPr>
        <w:t xml:space="preserve"> sobre un enfoque coordinado de las medidas en materia de viajes y transportes. Si bien es importante adoptar rápidamente medidas preventivas temporales para limitar una mayor propagación de la nueva cepa del virus y deben desaconsejarse todos los viajes no esenciales hacia y desde el Reino Unido, deben facilitarse los viajes esenciales y el tránsito de pasajeros. Habida cuenta de la necesidad de garantizar los viajes esenciales y evitar perturbaciones en la cadena de suministro, deben suspenderse las prohibiciones de viajes en avión y tren.</w:t>
      </w:r>
    </w:p>
    <w:p w:rsidR="00A36537" w:rsidRPr="00A36537" w:rsidRDefault="00A36537" w:rsidP="00A36537">
      <w:pPr>
        <w:numPr>
          <w:ilvl w:val="0"/>
          <w:numId w:val="23"/>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21 de diciembre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autoriza la primera vacuna segura y eficaz contra la COVID-19</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w:t>
      </w:r>
      <w:hyperlink r:id="rId70" w:history="1">
        <w:r w:rsidRPr="00A36537">
          <w:rPr>
            <w:rFonts w:ascii="EHUSans" w:eastAsia="Times New Roman" w:hAnsi="EHUSans"/>
            <w:color w:val="0000FF"/>
            <w:sz w:val="24"/>
            <w:szCs w:val="24"/>
            <w:u w:val="single"/>
            <w:lang w:eastAsia="es-ES"/>
          </w:rPr>
          <w:t>concedió una autorización condicional de comercialización</w:t>
        </w:r>
      </w:hyperlink>
      <w:r w:rsidRPr="00A36537">
        <w:rPr>
          <w:rFonts w:ascii="EHUSans" w:eastAsia="Times New Roman" w:hAnsi="EHUSans"/>
          <w:sz w:val="24"/>
          <w:szCs w:val="24"/>
          <w:lang w:eastAsia="es-ES"/>
        </w:rPr>
        <w:t xml:space="preserve"> para la vacuna contra la COVID-19 desarrollada por </w:t>
      </w:r>
      <w:proofErr w:type="spellStart"/>
      <w:r w:rsidRPr="00A36537">
        <w:rPr>
          <w:rFonts w:ascii="EHUSans" w:eastAsia="Times New Roman" w:hAnsi="EHUSans"/>
          <w:sz w:val="24"/>
          <w:szCs w:val="24"/>
          <w:lang w:eastAsia="es-ES"/>
        </w:rPr>
        <w:t>BioNTech</w:t>
      </w:r>
      <w:proofErr w:type="spellEnd"/>
      <w:r w:rsidRPr="00A36537">
        <w:rPr>
          <w:rFonts w:ascii="EHUSans" w:eastAsia="Times New Roman" w:hAnsi="EHUSans"/>
          <w:sz w:val="24"/>
          <w:szCs w:val="24"/>
          <w:lang w:eastAsia="es-ES"/>
        </w:rPr>
        <w:t xml:space="preserve"> y Pfizer, que pasa así a ser la primera vacuna contra la COVID-19 autorizada en la UE. Esta autorización, que está respaldada por los Estados miembros, responde a la recomendación científica positiva de la </w:t>
      </w:r>
      <w:r w:rsidRPr="00A36537">
        <w:rPr>
          <w:rFonts w:ascii="EHUSans" w:eastAsia="Times New Roman" w:hAnsi="EHUSans"/>
          <w:sz w:val="24"/>
          <w:szCs w:val="24"/>
          <w:lang w:eastAsia="es-ES"/>
        </w:rPr>
        <w:lastRenderedPageBreak/>
        <w:t>Agencia Europea de Medicamentos, basada en una rigurosa evaluación de la seguridad, eficacia y calidad de la vacuna.</w:t>
      </w:r>
    </w:p>
    <w:p w:rsidR="00A36537" w:rsidRPr="00A36537" w:rsidRDefault="00B33016" w:rsidP="00A36537">
      <w:pPr>
        <w:numPr>
          <w:ilvl w:val="1"/>
          <w:numId w:val="23"/>
        </w:numPr>
        <w:spacing w:before="100" w:beforeAutospacing="1" w:after="100" w:afterAutospacing="1"/>
        <w:rPr>
          <w:rFonts w:ascii="EHUSans" w:eastAsia="Times New Roman" w:hAnsi="EHUSans"/>
          <w:sz w:val="24"/>
          <w:szCs w:val="24"/>
          <w:lang w:eastAsia="es-ES"/>
        </w:rPr>
      </w:pPr>
      <w:hyperlink r:id="rId71" w:history="1">
        <w:r w:rsidR="00A36537" w:rsidRPr="00A36537">
          <w:rPr>
            <w:rFonts w:ascii="EHUSans" w:eastAsia="Times New Roman" w:hAnsi="EHUSans"/>
            <w:color w:val="0000FF"/>
            <w:sz w:val="24"/>
            <w:szCs w:val="24"/>
            <w:u w:val="single"/>
            <w:lang w:eastAsia="es-ES"/>
          </w:rPr>
          <w:t xml:space="preserve">Declaración de la presidenta Von der </w:t>
        </w:r>
        <w:proofErr w:type="spellStart"/>
        <w:r w:rsidR="00A36537" w:rsidRPr="00A36537">
          <w:rPr>
            <w:rFonts w:ascii="EHUSans" w:eastAsia="Times New Roman" w:hAnsi="EHUSans"/>
            <w:color w:val="0000FF"/>
            <w:sz w:val="24"/>
            <w:szCs w:val="24"/>
            <w:u w:val="single"/>
            <w:lang w:eastAsia="es-ES"/>
          </w:rPr>
          <w:t>Leyen</w:t>
        </w:r>
        <w:proofErr w:type="spellEnd"/>
        <w:r w:rsidR="00A36537" w:rsidRPr="00A36537">
          <w:rPr>
            <w:rFonts w:ascii="EHUSans" w:eastAsia="Times New Roman" w:hAnsi="EHUSans"/>
            <w:color w:val="0000FF"/>
            <w:sz w:val="24"/>
            <w:szCs w:val="24"/>
            <w:u w:val="single"/>
            <w:lang w:eastAsia="es-ES"/>
          </w:rPr>
          <w:t xml:space="preserve"> sobre la autorización de la vacuna de </w:t>
        </w:r>
        <w:proofErr w:type="spellStart"/>
        <w:r w:rsidR="00A36537" w:rsidRPr="00A36537">
          <w:rPr>
            <w:rFonts w:ascii="EHUSans" w:eastAsia="Times New Roman" w:hAnsi="EHUSans"/>
            <w:color w:val="0000FF"/>
            <w:sz w:val="24"/>
            <w:szCs w:val="24"/>
            <w:u w:val="single"/>
            <w:lang w:eastAsia="es-ES"/>
          </w:rPr>
          <w:t>BioNTech</w:t>
        </w:r>
        <w:proofErr w:type="spellEnd"/>
        <w:r w:rsidR="00A36537" w:rsidRPr="00A36537">
          <w:rPr>
            <w:rFonts w:ascii="EHUSans" w:eastAsia="Times New Roman" w:hAnsi="EHUSans"/>
            <w:color w:val="0000FF"/>
            <w:sz w:val="24"/>
            <w:szCs w:val="24"/>
            <w:u w:val="single"/>
            <w:lang w:eastAsia="es-ES"/>
          </w:rPr>
          <w:t>-Pfizer</w:t>
        </w:r>
      </w:hyperlink>
    </w:p>
    <w:p w:rsidR="00A36537" w:rsidRPr="00A36537" w:rsidRDefault="00A36537" w:rsidP="00A36537">
      <w:pPr>
        <w:numPr>
          <w:ilvl w:val="0"/>
          <w:numId w:val="23"/>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18 de diciembre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La Comisión propone normas sobre las pruebas rápidas de antígenos y garantiza 20 millones de </w:t>
      </w:r>
      <w:proofErr w:type="spellStart"/>
      <w:r w:rsidRPr="00A36537">
        <w:rPr>
          <w:rFonts w:ascii="EHUSans" w:eastAsia="Times New Roman" w:hAnsi="EHUSans"/>
          <w:b/>
          <w:bCs/>
          <w:sz w:val="24"/>
          <w:szCs w:val="24"/>
          <w:lang w:eastAsia="es-ES"/>
        </w:rPr>
        <w:t>tests</w:t>
      </w:r>
      <w:proofErr w:type="spellEnd"/>
      <w:r w:rsidRPr="00A36537">
        <w:rPr>
          <w:rFonts w:ascii="EHUSans" w:eastAsia="Times New Roman" w:hAnsi="EHUSans"/>
          <w:b/>
          <w:bCs/>
          <w:sz w:val="24"/>
          <w:szCs w:val="24"/>
          <w:lang w:eastAsia="es-ES"/>
        </w:rPr>
        <w:t xml:space="preserve"> a los Estados miembros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adoptó una </w:t>
      </w:r>
      <w:hyperlink r:id="rId72" w:history="1">
        <w:r w:rsidRPr="00A36537">
          <w:rPr>
            <w:rFonts w:ascii="EHUSans" w:eastAsia="Times New Roman" w:hAnsi="EHUSans"/>
            <w:color w:val="0000FF"/>
            <w:sz w:val="24"/>
            <w:szCs w:val="24"/>
            <w:u w:val="single"/>
            <w:lang w:eastAsia="es-ES"/>
          </w:rPr>
          <w:t>propuesta</w:t>
        </w:r>
      </w:hyperlink>
      <w:r w:rsidRPr="00A36537">
        <w:rPr>
          <w:rFonts w:ascii="EHUSans" w:eastAsia="Times New Roman" w:hAnsi="EHUSans"/>
          <w:sz w:val="24"/>
          <w:szCs w:val="24"/>
          <w:lang w:eastAsia="es-ES"/>
        </w:rPr>
        <w:t xml:space="preserve"> de marco común para la utilización, validación y reconocimiento mutuo de las pruebas rápidas de detección de antígenos. Desde el comienzo de la pandemia de COVID-19, las pruebas de diagnóstico han evolucionado con rapidez y evidenciado su papel fundamental a la hora de controlar los brotes. Además, la Comisión también firmó un contrato marco con Abbott y Roche que permitirá comprar más de 20 millones de pruebas rápidas de antígenos por un máximo de 100 millones de euros, financiados por el Instrumento de Asistencia Urgente. A partir de principios de 2021, los </w:t>
      </w:r>
      <w:proofErr w:type="spellStart"/>
      <w:r w:rsidRPr="00A36537">
        <w:rPr>
          <w:rFonts w:ascii="EHUSans" w:eastAsia="Times New Roman" w:hAnsi="EHUSans"/>
          <w:sz w:val="24"/>
          <w:szCs w:val="24"/>
          <w:lang w:eastAsia="es-ES"/>
        </w:rPr>
        <w:t>tests</w:t>
      </w:r>
      <w:proofErr w:type="spellEnd"/>
      <w:r w:rsidRPr="00A36537">
        <w:rPr>
          <w:rFonts w:ascii="EHUSans" w:eastAsia="Times New Roman" w:hAnsi="EHUSans"/>
          <w:sz w:val="24"/>
          <w:szCs w:val="24"/>
          <w:lang w:eastAsia="es-ES"/>
        </w:rPr>
        <w:t xml:space="preserve"> estarán a disposición de los países de la UE dentro de la estrategia de la Unión sobre las pruebas de diagnóstico de la COVID-19.</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Noviembre</w:t>
      </w:r>
    </w:p>
    <w:p w:rsidR="00A36537" w:rsidRPr="00A36537" w:rsidRDefault="00A36537" w:rsidP="00A36537">
      <w:pPr>
        <w:numPr>
          <w:ilvl w:val="0"/>
          <w:numId w:val="24"/>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12 de noviembre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UE aumenta su contribución al Mecanismo COVAX</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Unión Europea ha anunciado que aportará </w:t>
      </w:r>
      <w:hyperlink r:id="rId73" w:history="1">
        <w:r w:rsidRPr="00A36537">
          <w:rPr>
            <w:rFonts w:ascii="EHUSans" w:eastAsia="Times New Roman" w:hAnsi="EHUSans"/>
            <w:color w:val="0000FF"/>
            <w:sz w:val="24"/>
            <w:szCs w:val="24"/>
            <w:u w:val="single"/>
            <w:lang w:eastAsia="es-ES"/>
          </w:rPr>
          <w:t>100 millones de euros más en subvenciones</w:t>
        </w:r>
      </w:hyperlink>
      <w:r w:rsidRPr="00A36537">
        <w:rPr>
          <w:rFonts w:ascii="EHUSans" w:eastAsia="Times New Roman" w:hAnsi="EHUSans"/>
          <w:sz w:val="24"/>
          <w:szCs w:val="24"/>
          <w:lang w:eastAsia="es-ES"/>
        </w:rPr>
        <w:t xml:space="preserve"> en apoyo del Mecanismo COVAX a fin de garantizar el acceso a la futura vacuna contra la COVID-19 en los países de renta baja y media. El COVAX es el pilar centrado en las vacunas del Acelerador de acceso a las herramientas contra la COVID-19, una colaboración mundial destinada a agilizar el desarrollo, la producción y el acceso equitativo a las pruebas, los tratamientos y las vacunas contra la COVID-19. Los fondos complementarán los 400 millones de euros en garantías que la UE ya había comprometido para el COVAX, lo que convierte a la Unión en uno de los principales donantes.</w:t>
      </w:r>
    </w:p>
    <w:p w:rsidR="00A36537" w:rsidRPr="00A36537" w:rsidRDefault="00A36537" w:rsidP="00A36537">
      <w:pPr>
        <w:numPr>
          <w:ilvl w:val="0"/>
          <w:numId w:val="24"/>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11 de noviembre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Creación de una Unión Europea de la Salud</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da los primeros pasos hacia la creación de la </w:t>
      </w:r>
      <w:hyperlink r:id="rId74" w:history="1">
        <w:r w:rsidRPr="00A36537">
          <w:rPr>
            <w:rFonts w:ascii="EHUSans" w:eastAsia="Times New Roman" w:hAnsi="EHUSans"/>
            <w:color w:val="0000FF"/>
            <w:sz w:val="24"/>
            <w:szCs w:val="24"/>
            <w:u w:val="single"/>
            <w:lang w:eastAsia="es-ES"/>
          </w:rPr>
          <w:t>Unión Europea de la Salud</w:t>
        </w:r>
      </w:hyperlink>
      <w:r w:rsidRPr="00A36537">
        <w:rPr>
          <w:rFonts w:ascii="EHUSans" w:eastAsia="Times New Roman" w:hAnsi="EHUSans"/>
          <w:sz w:val="24"/>
          <w:szCs w:val="24"/>
          <w:lang w:eastAsia="es-ES"/>
        </w:rPr>
        <w:t xml:space="preserve">. Aprovechando las lecciones aprendidas de la crisis actual, las propuestas deberían garantizar una preparación y una respuesta más sólidas durante las crisis sanitarias actuales y futuras. Incluyen medidas para consolidar el marco de seguridad sanitaria de la </w:t>
      </w:r>
      <w:r w:rsidRPr="00A36537">
        <w:rPr>
          <w:rFonts w:ascii="EHUSans" w:eastAsia="Times New Roman" w:hAnsi="EHUSans"/>
          <w:sz w:val="24"/>
          <w:szCs w:val="24"/>
          <w:lang w:eastAsia="es-ES"/>
        </w:rPr>
        <w:lastRenderedPageBreak/>
        <w:t>UE y reforzar la función de preparación y respuesta ante las crisis de las principales agencias de la UE.</w:t>
      </w:r>
    </w:p>
    <w:p w:rsidR="00A36537" w:rsidRPr="00A36537" w:rsidRDefault="00A36537" w:rsidP="00A36537">
      <w:pPr>
        <w:numPr>
          <w:ilvl w:val="0"/>
          <w:numId w:val="24"/>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11 de noviembre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Cuarto contrato con empresas farmacéuticas para garantizar el acceso a una posible vacuna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aprueba </w:t>
      </w:r>
      <w:hyperlink r:id="rId75" w:history="1">
        <w:r w:rsidRPr="00A36537">
          <w:rPr>
            <w:rFonts w:ascii="EHUSans" w:eastAsia="Times New Roman" w:hAnsi="EHUSans"/>
            <w:color w:val="0000FF"/>
            <w:sz w:val="24"/>
            <w:szCs w:val="24"/>
            <w:u w:val="single"/>
            <w:lang w:eastAsia="es-ES"/>
          </w:rPr>
          <w:t>un cuarto contrato con las empresas farmacéuticas</w:t>
        </w:r>
      </w:hyperlink>
      <w:r w:rsidRPr="00A36537">
        <w:rPr>
          <w:rFonts w:ascii="EHUSans" w:eastAsia="Times New Roman" w:hAnsi="EHUSans"/>
          <w:sz w:val="24"/>
          <w:szCs w:val="24"/>
          <w:lang w:eastAsia="es-ES"/>
        </w:rPr>
        <w:t xml:space="preserve"> </w:t>
      </w:r>
      <w:proofErr w:type="spellStart"/>
      <w:r w:rsidRPr="00A36537">
        <w:rPr>
          <w:rFonts w:ascii="EHUSans" w:eastAsia="Times New Roman" w:hAnsi="EHUSans"/>
          <w:sz w:val="24"/>
          <w:szCs w:val="24"/>
          <w:lang w:eastAsia="es-ES"/>
        </w:rPr>
        <w:t>BioNTech</w:t>
      </w:r>
      <w:proofErr w:type="spellEnd"/>
      <w:r w:rsidRPr="00A36537">
        <w:rPr>
          <w:rFonts w:ascii="EHUSans" w:eastAsia="Times New Roman" w:hAnsi="EHUSans"/>
          <w:sz w:val="24"/>
          <w:szCs w:val="24"/>
          <w:lang w:eastAsia="es-ES"/>
        </w:rPr>
        <w:t xml:space="preserve"> y Pfizer, que prevé la compra inicial de 200 millones de dosis en nombre de todos los Estados miembros de la UE, además de la opción de solicitar hasta 100 millones de dosis adicionales, que se suministrarán una vez que la vacuna haya demostrado ser segura y eficaz contra la COVID-19.</w:t>
      </w:r>
    </w:p>
    <w:p w:rsidR="00A36537" w:rsidRPr="00A36537" w:rsidRDefault="00A36537" w:rsidP="00A36537">
      <w:pPr>
        <w:numPr>
          <w:ilvl w:val="0"/>
          <w:numId w:val="24"/>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10 de noviembre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Acuerdo sobre un paquete de 1,8 billones de euros para contribuir a construir una Europa más ecológica, digital y </w:t>
      </w:r>
      <w:proofErr w:type="spellStart"/>
      <w:r w:rsidRPr="00A36537">
        <w:rPr>
          <w:rFonts w:ascii="EHUSans" w:eastAsia="Times New Roman" w:hAnsi="EHUSans"/>
          <w:b/>
          <w:bCs/>
          <w:sz w:val="24"/>
          <w:szCs w:val="24"/>
          <w:lang w:eastAsia="es-ES"/>
        </w:rPr>
        <w:t>resiliente</w:t>
      </w:r>
      <w:proofErr w:type="spellEnd"/>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w:t>
      </w:r>
      <w:hyperlink r:id="rId76" w:history="1">
        <w:r w:rsidRPr="00A36537">
          <w:rPr>
            <w:rFonts w:ascii="EHUSans" w:eastAsia="Times New Roman" w:hAnsi="EHUSans"/>
            <w:color w:val="0000FF"/>
            <w:sz w:val="24"/>
            <w:szCs w:val="24"/>
            <w:u w:val="single"/>
            <w:lang w:eastAsia="es-ES"/>
          </w:rPr>
          <w:t>se congratula del acuerdo</w:t>
        </w:r>
      </w:hyperlink>
      <w:r w:rsidRPr="00A36537">
        <w:rPr>
          <w:rFonts w:ascii="EHUSans" w:eastAsia="Times New Roman" w:hAnsi="EHUSans"/>
          <w:sz w:val="24"/>
          <w:szCs w:val="24"/>
          <w:lang w:eastAsia="es-ES"/>
        </w:rPr>
        <w:t xml:space="preserve"> alcanzado entre el Parlamento Europeo y los Estados miembros de la UE en el Consejo sobre el próximo presupuesto a largo plazo de Europa y </w:t>
      </w:r>
      <w:proofErr w:type="spellStart"/>
      <w:r w:rsidRPr="00A36537">
        <w:rPr>
          <w:rFonts w:ascii="EHUSans" w:eastAsia="Times New Roman" w:hAnsi="EHUSans"/>
          <w:sz w:val="24"/>
          <w:szCs w:val="24"/>
          <w:lang w:eastAsia="es-ES"/>
        </w:rPr>
        <w:t>NextGenerationEU</w:t>
      </w:r>
      <w:proofErr w:type="spellEnd"/>
      <w:r w:rsidRPr="00A36537">
        <w:rPr>
          <w:rFonts w:ascii="EHUSans" w:eastAsia="Times New Roman" w:hAnsi="EHUSans"/>
          <w:sz w:val="24"/>
          <w:szCs w:val="24"/>
          <w:lang w:eastAsia="es-ES"/>
        </w:rPr>
        <w:t xml:space="preserve">. Una vez adoptado, </w:t>
      </w:r>
      <w:r w:rsidRPr="00A36537">
        <w:rPr>
          <w:rFonts w:ascii="EHUSans" w:eastAsia="Times New Roman" w:hAnsi="EHUSans"/>
          <w:b/>
          <w:bCs/>
          <w:sz w:val="24"/>
          <w:szCs w:val="24"/>
          <w:lang w:eastAsia="es-ES"/>
        </w:rPr>
        <w:t>el paquete, por un valor total de 1,8 billones de euros</w:t>
      </w:r>
      <w:r w:rsidRPr="00A36537">
        <w:rPr>
          <w:rFonts w:ascii="EHUSans" w:eastAsia="Times New Roman" w:hAnsi="EHUSans"/>
          <w:sz w:val="24"/>
          <w:szCs w:val="24"/>
          <w:lang w:eastAsia="es-ES"/>
        </w:rPr>
        <w:t xml:space="preserve">, contribuirá a reconstruir la Europa posterior a la COVID-19, que será más ecológica, digital y </w:t>
      </w:r>
      <w:proofErr w:type="spellStart"/>
      <w:r w:rsidRPr="00A36537">
        <w:rPr>
          <w:rFonts w:ascii="EHUSans" w:eastAsia="Times New Roman" w:hAnsi="EHUSans"/>
          <w:sz w:val="24"/>
          <w:szCs w:val="24"/>
          <w:lang w:eastAsia="es-ES"/>
        </w:rPr>
        <w:t>resiliente</w:t>
      </w:r>
      <w:proofErr w:type="spellEnd"/>
      <w:r w:rsidRPr="00A36537">
        <w:rPr>
          <w:rFonts w:ascii="EHUSans" w:eastAsia="Times New Roman" w:hAnsi="EHUSans"/>
          <w:sz w:val="24"/>
          <w:szCs w:val="24"/>
          <w:lang w:eastAsia="es-ES"/>
        </w:rPr>
        <w:t>, y estará mejor adaptada a los retos actuales y futuros.</w:t>
      </w:r>
    </w:p>
    <w:p w:rsidR="00A36537" w:rsidRPr="00A36537" w:rsidRDefault="00A36537" w:rsidP="00A36537">
      <w:pPr>
        <w:numPr>
          <w:ilvl w:val="0"/>
          <w:numId w:val="24"/>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9 de noviembre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Apoyo a la respuesta del </w:t>
      </w:r>
      <w:proofErr w:type="spellStart"/>
      <w:r w:rsidRPr="00A36537">
        <w:rPr>
          <w:rFonts w:ascii="EHUSans" w:eastAsia="Times New Roman" w:hAnsi="EHUSans"/>
          <w:b/>
          <w:bCs/>
          <w:sz w:val="24"/>
          <w:szCs w:val="24"/>
          <w:lang w:eastAsia="es-ES"/>
        </w:rPr>
        <w:t>Sahel</w:t>
      </w:r>
      <w:proofErr w:type="spellEnd"/>
      <w:r w:rsidRPr="00A36537">
        <w:rPr>
          <w:rFonts w:ascii="EHUSans" w:eastAsia="Times New Roman" w:hAnsi="EHUSans"/>
          <w:b/>
          <w:bCs/>
          <w:sz w:val="24"/>
          <w:szCs w:val="24"/>
          <w:lang w:eastAsia="es-ES"/>
        </w:rPr>
        <w:t xml:space="preserve"> a la pandemia de coronavirus con 92 millones de euros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Como parte de su cooperación con el </w:t>
      </w:r>
      <w:proofErr w:type="spellStart"/>
      <w:r w:rsidRPr="00A36537">
        <w:rPr>
          <w:rFonts w:ascii="EHUSans" w:eastAsia="Times New Roman" w:hAnsi="EHUSans"/>
          <w:sz w:val="24"/>
          <w:szCs w:val="24"/>
          <w:lang w:eastAsia="es-ES"/>
        </w:rPr>
        <w:t>Sahel</w:t>
      </w:r>
      <w:proofErr w:type="spellEnd"/>
      <w:r w:rsidRPr="00A36537">
        <w:rPr>
          <w:rFonts w:ascii="EHUSans" w:eastAsia="Times New Roman" w:hAnsi="EHUSans"/>
          <w:sz w:val="24"/>
          <w:szCs w:val="24"/>
          <w:lang w:eastAsia="es-ES"/>
        </w:rPr>
        <w:t xml:space="preserve">, la UE </w:t>
      </w:r>
      <w:hyperlink r:id="rId77" w:history="1">
        <w:r w:rsidRPr="00A36537">
          <w:rPr>
            <w:rFonts w:ascii="EHUSans" w:eastAsia="Times New Roman" w:hAnsi="EHUSans"/>
            <w:color w:val="0000FF"/>
            <w:sz w:val="24"/>
            <w:szCs w:val="24"/>
            <w:u w:val="single"/>
            <w:lang w:eastAsia="es-ES"/>
          </w:rPr>
          <w:t>anuncia una financiación de 92 millones de euros</w:t>
        </w:r>
      </w:hyperlink>
      <w:r w:rsidRPr="00A36537">
        <w:rPr>
          <w:rFonts w:ascii="EHUSans" w:eastAsia="Times New Roman" w:hAnsi="EHUSans"/>
          <w:sz w:val="24"/>
          <w:szCs w:val="24"/>
          <w:lang w:eastAsia="es-ES"/>
        </w:rPr>
        <w:t xml:space="preserve"> para reforzar la respuesta de Burkina Faso, Mauritania, Níger y Chad a la propagación del coronavirus. El objetivo es proporcionar una asistencia sanitaria de calidad a la población y reducir el impacto económico y social de la pandemia.</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Octubre</w:t>
      </w:r>
    </w:p>
    <w:p w:rsidR="00A36537" w:rsidRPr="00A36537" w:rsidRDefault="00A36537" w:rsidP="00A36537">
      <w:pPr>
        <w:numPr>
          <w:ilvl w:val="0"/>
          <w:numId w:val="25"/>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22 de octubre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Se envían a Chequia los primeros respiradores de </w:t>
      </w:r>
      <w:proofErr w:type="spellStart"/>
      <w:r w:rsidRPr="00A36537">
        <w:rPr>
          <w:rFonts w:ascii="EHUSans" w:eastAsia="Times New Roman" w:hAnsi="EHUSans"/>
          <w:b/>
          <w:bCs/>
          <w:sz w:val="24"/>
          <w:szCs w:val="24"/>
          <w:lang w:eastAsia="es-ES"/>
        </w:rPr>
        <w:t>rescEU</w:t>
      </w:r>
      <w:proofErr w:type="spellEnd"/>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A raíz de una solicitud de ayuda de Chequia, la UE envió inmediatamente </w:t>
      </w:r>
      <w:hyperlink r:id="rId78" w:history="1">
        <w:r w:rsidRPr="00A36537">
          <w:rPr>
            <w:rFonts w:ascii="EHUSans" w:eastAsia="Times New Roman" w:hAnsi="EHUSans"/>
            <w:color w:val="0000FF"/>
            <w:sz w:val="24"/>
            <w:szCs w:val="24"/>
            <w:u w:val="single"/>
            <w:lang w:eastAsia="es-ES"/>
          </w:rPr>
          <w:t xml:space="preserve">un primer lote de 30 respiradores de </w:t>
        </w:r>
        <w:proofErr w:type="spellStart"/>
        <w:r w:rsidRPr="00A36537">
          <w:rPr>
            <w:rFonts w:ascii="EHUSans" w:eastAsia="Times New Roman" w:hAnsi="EHUSans"/>
            <w:color w:val="0000FF"/>
            <w:sz w:val="24"/>
            <w:szCs w:val="24"/>
            <w:u w:val="single"/>
            <w:lang w:eastAsia="es-ES"/>
          </w:rPr>
          <w:t>rescEU</w:t>
        </w:r>
        <w:proofErr w:type="spellEnd"/>
      </w:hyperlink>
      <w:r w:rsidRPr="00A36537">
        <w:rPr>
          <w:rFonts w:ascii="EHUSans" w:eastAsia="Times New Roman" w:hAnsi="EHUSans"/>
          <w:sz w:val="24"/>
          <w:szCs w:val="24"/>
          <w:lang w:eastAsia="es-ES"/>
        </w:rPr>
        <w:t xml:space="preserve">, la reserva europea común </w:t>
      </w:r>
      <w:r w:rsidRPr="00A36537">
        <w:rPr>
          <w:rFonts w:ascii="EHUSans" w:eastAsia="Times New Roman" w:hAnsi="EHUSans"/>
          <w:sz w:val="24"/>
          <w:szCs w:val="24"/>
          <w:lang w:eastAsia="es-ES"/>
        </w:rPr>
        <w:lastRenderedPageBreak/>
        <w:t>de equipos médicos creada a principios de este año para ayudar a los países afectados por la pandemia de coronavirus.</w:t>
      </w:r>
    </w:p>
    <w:p w:rsidR="00A36537" w:rsidRPr="00A36537" w:rsidRDefault="00A36537" w:rsidP="00A36537">
      <w:pPr>
        <w:numPr>
          <w:ilvl w:val="0"/>
          <w:numId w:val="25"/>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21 de octubre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realiza la primera emisión de bonos sociales SURE de la UE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w:t>
      </w:r>
      <w:hyperlink r:id="rId79" w:history="1">
        <w:r w:rsidRPr="00A36537">
          <w:rPr>
            <w:rFonts w:ascii="EHUSans" w:eastAsia="Times New Roman" w:hAnsi="EHUSans"/>
            <w:color w:val="0000FF"/>
            <w:sz w:val="24"/>
            <w:szCs w:val="24"/>
            <w:u w:val="single"/>
            <w:lang w:eastAsia="es-ES"/>
          </w:rPr>
          <w:t>emitió por primera vez bonos sociales por un valor de 17.000 millones de euros</w:t>
        </w:r>
      </w:hyperlink>
      <w:r w:rsidRPr="00A36537">
        <w:rPr>
          <w:rFonts w:ascii="EHUSans" w:eastAsia="Times New Roman" w:hAnsi="EHUSans"/>
          <w:sz w:val="24"/>
          <w:szCs w:val="24"/>
          <w:lang w:eastAsia="es-ES"/>
        </w:rPr>
        <w:t xml:space="preserve"> en el marco del instrumento SURE de la UE para ayudar a proteger el empleo y mantener a los trabajadores en el puesto de trabajo. Se emitieron dos bonos diferentes, debiéndose reembolsar 10.000 millones de euros en octubre de 2030 y 7.000 millones de euros en 2040. Los inversores mostraron un gran interés por este instrumento de elevada calificación, y la demanda de suscripción ha superado en más de 13 veces a la oferta, lo que se ha traducido en una remuneración favorable para ambos bonos.</w:t>
      </w:r>
    </w:p>
    <w:p w:rsidR="00A36537" w:rsidRPr="00A36537" w:rsidRDefault="00A36537" w:rsidP="00A36537">
      <w:pPr>
        <w:numPr>
          <w:ilvl w:val="0"/>
          <w:numId w:val="25"/>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19 de octubre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Entra en funcionamiento la pasarela de interoperabilidad de la UE y se conectan al sistema las primeras aplicaciones de rastreo de contactos y alerta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Con objeto de aprovechar todo el potencial de las aplicaciones de rastreo de contactos y alerta para romper la cadena de infecciones por coronavirus a través de las fronteras, la Comisión creó, a invitación de los Estados miembros de la UE, un </w:t>
      </w:r>
      <w:hyperlink r:id="rId80" w:history="1">
        <w:r w:rsidRPr="00A36537">
          <w:rPr>
            <w:rFonts w:ascii="EHUSans" w:eastAsia="Times New Roman" w:hAnsi="EHUSans"/>
            <w:color w:val="0000FF"/>
            <w:sz w:val="24"/>
            <w:szCs w:val="24"/>
            <w:u w:val="single"/>
            <w:lang w:eastAsia="es-ES"/>
          </w:rPr>
          <w:t>sistema a escala de la UE para garantizar la interoperabilidad</w:t>
        </w:r>
      </w:hyperlink>
      <w:r w:rsidRPr="00A36537">
        <w:rPr>
          <w:rFonts w:ascii="EHUSans" w:eastAsia="Times New Roman" w:hAnsi="EHUSans"/>
          <w:sz w:val="24"/>
          <w:szCs w:val="24"/>
          <w:lang w:eastAsia="es-ES"/>
        </w:rPr>
        <w:t xml:space="preserve">, esto es, lo que se llama una «pasarela». Tras el éxito de la </w:t>
      </w:r>
      <w:hyperlink r:id="rId81" w:history="1">
        <w:r w:rsidRPr="00A36537">
          <w:rPr>
            <w:rFonts w:ascii="EHUSans" w:eastAsia="Times New Roman" w:hAnsi="EHUSans"/>
            <w:color w:val="0000FF"/>
            <w:sz w:val="24"/>
            <w:szCs w:val="24"/>
            <w:u w:val="single"/>
            <w:lang w:eastAsia="es-ES"/>
          </w:rPr>
          <w:t>fase piloto</w:t>
        </w:r>
      </w:hyperlink>
      <w:r w:rsidRPr="00A36537">
        <w:rPr>
          <w:rFonts w:ascii="EHUSans" w:eastAsia="Times New Roman" w:hAnsi="EHUSans"/>
          <w:sz w:val="24"/>
          <w:szCs w:val="24"/>
          <w:lang w:eastAsia="es-ES"/>
        </w:rPr>
        <w:t>, el sistema entró en funcionamiento el 19 de octubre con la primera serie de aplicaciones nacionales ahora conectadas a través de este servicio: Corona-</w:t>
      </w:r>
      <w:proofErr w:type="spellStart"/>
      <w:r w:rsidRPr="00A36537">
        <w:rPr>
          <w:rFonts w:ascii="EHUSans" w:eastAsia="Times New Roman" w:hAnsi="EHUSans"/>
          <w:sz w:val="24"/>
          <w:szCs w:val="24"/>
          <w:lang w:eastAsia="es-ES"/>
        </w:rPr>
        <w:t>Warn</w:t>
      </w:r>
      <w:proofErr w:type="spellEnd"/>
      <w:r w:rsidRPr="00A36537">
        <w:rPr>
          <w:rFonts w:ascii="EHUSans" w:eastAsia="Times New Roman" w:hAnsi="EHUSans"/>
          <w:sz w:val="24"/>
          <w:szCs w:val="24"/>
          <w:lang w:eastAsia="es-ES"/>
        </w:rPr>
        <w:t xml:space="preserve">-App (Alemania), COVID </w:t>
      </w:r>
      <w:proofErr w:type="spellStart"/>
      <w:r w:rsidRPr="00A36537">
        <w:rPr>
          <w:rFonts w:ascii="EHUSans" w:eastAsia="Times New Roman" w:hAnsi="EHUSans"/>
          <w:sz w:val="24"/>
          <w:szCs w:val="24"/>
          <w:lang w:eastAsia="es-ES"/>
        </w:rPr>
        <w:t>tracker</w:t>
      </w:r>
      <w:proofErr w:type="spellEnd"/>
      <w:r w:rsidRPr="00A36537">
        <w:rPr>
          <w:rFonts w:ascii="EHUSans" w:eastAsia="Times New Roman" w:hAnsi="EHUSans"/>
          <w:sz w:val="24"/>
          <w:szCs w:val="24"/>
          <w:lang w:eastAsia="es-ES"/>
        </w:rPr>
        <w:t xml:space="preserve"> (Irlanda) e </w:t>
      </w:r>
      <w:proofErr w:type="spellStart"/>
      <w:r w:rsidRPr="00A36537">
        <w:rPr>
          <w:rFonts w:ascii="EHUSans" w:eastAsia="Times New Roman" w:hAnsi="EHUSans"/>
          <w:sz w:val="24"/>
          <w:szCs w:val="24"/>
          <w:lang w:eastAsia="es-ES"/>
        </w:rPr>
        <w:t>inmuni</w:t>
      </w:r>
      <w:proofErr w:type="spellEnd"/>
      <w:r w:rsidRPr="00A36537">
        <w:rPr>
          <w:rFonts w:ascii="EHUSans" w:eastAsia="Times New Roman" w:hAnsi="EHUSans"/>
          <w:sz w:val="24"/>
          <w:szCs w:val="24"/>
          <w:lang w:eastAsia="es-ES"/>
        </w:rPr>
        <w:t xml:space="preserve"> (Italia).</w:t>
      </w:r>
    </w:p>
    <w:p w:rsidR="00A36537" w:rsidRPr="00A36537" w:rsidRDefault="00A36537" w:rsidP="00A36537">
      <w:pPr>
        <w:numPr>
          <w:ilvl w:val="0"/>
          <w:numId w:val="25"/>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19 de octubre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25 millones de euros para mitigar los efectos de la crisis del coronavirus en Gambia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Unión Europea desembolsó </w:t>
      </w:r>
      <w:hyperlink r:id="rId82" w:history="1">
        <w:r w:rsidRPr="00A36537">
          <w:rPr>
            <w:rFonts w:ascii="EHUSans" w:eastAsia="Times New Roman" w:hAnsi="EHUSans"/>
            <w:color w:val="0000FF"/>
            <w:sz w:val="24"/>
            <w:szCs w:val="24"/>
            <w:u w:val="single"/>
            <w:lang w:eastAsia="es-ES"/>
          </w:rPr>
          <w:t>25 millones de euros de apoyo presupuestario</w:t>
        </w:r>
      </w:hyperlink>
      <w:r w:rsidRPr="00A36537">
        <w:rPr>
          <w:rFonts w:ascii="EHUSans" w:eastAsia="Times New Roman" w:hAnsi="EHUSans"/>
          <w:sz w:val="24"/>
          <w:szCs w:val="24"/>
          <w:lang w:eastAsia="es-ES"/>
        </w:rPr>
        <w:t xml:space="preserve"> para la respuesta de Gambia a la pandemia de coronavirus. Como parte del paquete global del Equipo Europa, estos fondos contribuyen a la recuperación de la pandemia y apoyan, asimismo, la transición hacia la democracia y los objetivos de desarrollo a medio plazo.</w:t>
      </w:r>
    </w:p>
    <w:p w:rsidR="00A36537" w:rsidRPr="00A36537" w:rsidRDefault="00A36537" w:rsidP="00A36537">
      <w:pPr>
        <w:numPr>
          <w:ilvl w:val="0"/>
          <w:numId w:val="25"/>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15 de octubre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lastRenderedPageBreak/>
        <w:t>La Comisión enumera las etapas clave para la eficacia de las estrategias de vacunación y el despliegue de las vacunas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Anticipándose al debate de los dirigentes de la UE, la </w:t>
      </w:r>
      <w:hyperlink r:id="rId83" w:history="1">
        <w:r w:rsidRPr="00A36537">
          <w:rPr>
            <w:rFonts w:ascii="EHUSans" w:eastAsia="Times New Roman" w:hAnsi="EHUSans"/>
            <w:color w:val="0000FF"/>
            <w:sz w:val="24"/>
            <w:szCs w:val="24"/>
            <w:u w:val="single"/>
            <w:lang w:eastAsia="es-ES"/>
          </w:rPr>
          <w:t>Comisión presentó los elementos clave</w:t>
        </w:r>
      </w:hyperlink>
      <w:r w:rsidRPr="00A36537">
        <w:rPr>
          <w:rFonts w:ascii="EHUSans" w:eastAsia="Times New Roman" w:hAnsi="EHUSans"/>
          <w:sz w:val="24"/>
          <w:szCs w:val="24"/>
          <w:lang w:eastAsia="es-ES"/>
        </w:rPr>
        <w:t xml:space="preserve"> que los Estados miembros deben tener en cuenta en sus estrategias de vacunación contra la COVID-19 con el fin de preparar a la UE y a su ciudadanía para cuando se disponga de una vacuna segura y eficaz, así como de establecer los grupos prioritarios en cuanto al orden de vacunación.</w:t>
      </w:r>
    </w:p>
    <w:p w:rsidR="00A36537" w:rsidRPr="00A36537" w:rsidRDefault="00A36537" w:rsidP="00A36537">
      <w:pPr>
        <w:numPr>
          <w:ilvl w:val="0"/>
          <w:numId w:val="25"/>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8 de octubre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aprueba un tercer contrato para asegurarse el acceso a una posible vacuna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w:t>
      </w:r>
      <w:hyperlink r:id="rId84" w:history="1">
        <w:r w:rsidRPr="00A36537">
          <w:rPr>
            <w:rFonts w:ascii="EHUSans" w:eastAsia="Times New Roman" w:hAnsi="EHUSans"/>
            <w:color w:val="0000FF"/>
            <w:sz w:val="24"/>
            <w:szCs w:val="24"/>
            <w:u w:val="single"/>
            <w:lang w:eastAsia="es-ES"/>
          </w:rPr>
          <w:t>aprobó un tercer contrato</w:t>
        </w:r>
      </w:hyperlink>
      <w:r w:rsidRPr="00A36537">
        <w:rPr>
          <w:rFonts w:ascii="EHUSans" w:eastAsia="Times New Roman" w:hAnsi="EHUSans"/>
          <w:sz w:val="24"/>
          <w:szCs w:val="24"/>
          <w:lang w:eastAsia="es-ES"/>
        </w:rPr>
        <w:t xml:space="preserve"> con una empresa farmacéutica, </w:t>
      </w:r>
      <w:proofErr w:type="spellStart"/>
      <w:r w:rsidRPr="00A36537">
        <w:rPr>
          <w:rFonts w:ascii="EHUSans" w:eastAsia="Times New Roman" w:hAnsi="EHUSans"/>
          <w:sz w:val="24"/>
          <w:szCs w:val="24"/>
          <w:lang w:eastAsia="es-ES"/>
        </w:rPr>
        <w:t>Janssen</w:t>
      </w:r>
      <w:proofErr w:type="spellEnd"/>
      <w:r w:rsidRPr="00A36537">
        <w:rPr>
          <w:rFonts w:ascii="EHUSans" w:eastAsia="Times New Roman" w:hAnsi="EHUSans"/>
          <w:sz w:val="24"/>
          <w:szCs w:val="24"/>
          <w:lang w:eastAsia="es-ES"/>
        </w:rPr>
        <w:t xml:space="preserve"> </w:t>
      </w:r>
      <w:proofErr w:type="spellStart"/>
      <w:r w:rsidRPr="00A36537">
        <w:rPr>
          <w:rFonts w:ascii="EHUSans" w:eastAsia="Times New Roman" w:hAnsi="EHUSans"/>
          <w:sz w:val="24"/>
          <w:szCs w:val="24"/>
          <w:lang w:eastAsia="es-ES"/>
        </w:rPr>
        <w:t>Pharmaceutica</w:t>
      </w:r>
      <w:proofErr w:type="spellEnd"/>
      <w:r w:rsidRPr="00A36537">
        <w:rPr>
          <w:rFonts w:ascii="EHUSans" w:eastAsia="Times New Roman" w:hAnsi="EHUSans"/>
          <w:sz w:val="24"/>
          <w:szCs w:val="24"/>
          <w:lang w:eastAsia="es-ES"/>
        </w:rPr>
        <w:t xml:space="preserve"> NV, una de las empresas farmacéuticas </w:t>
      </w:r>
      <w:proofErr w:type="spellStart"/>
      <w:r w:rsidRPr="00A36537">
        <w:rPr>
          <w:rFonts w:ascii="EHUSans" w:eastAsia="Times New Roman" w:hAnsi="EHUSans"/>
          <w:sz w:val="24"/>
          <w:szCs w:val="24"/>
          <w:lang w:eastAsia="es-ES"/>
        </w:rPr>
        <w:t>Janssen</w:t>
      </w:r>
      <w:proofErr w:type="spellEnd"/>
      <w:r w:rsidRPr="00A36537">
        <w:rPr>
          <w:rFonts w:ascii="EHUSans" w:eastAsia="Times New Roman" w:hAnsi="EHUSans"/>
          <w:sz w:val="24"/>
          <w:szCs w:val="24"/>
          <w:lang w:eastAsia="es-ES"/>
        </w:rPr>
        <w:t xml:space="preserve"> de Johnson &amp; Johnson. El contrato permitirá a los países de la UE adquirir vacunas para 200 millones de personas una vez que la vacuna haya demostrado ser segura y eficaz contra la COVID-19. Además, tendrán la posibilidad de adquirir otros 200 millones de vacunas adicionales. La Comisión ya firmó un contrato con </w:t>
      </w:r>
      <w:hyperlink r:id="rId85" w:history="1">
        <w:proofErr w:type="spellStart"/>
        <w:r w:rsidRPr="00A36537">
          <w:rPr>
            <w:rFonts w:ascii="EHUSans" w:eastAsia="Times New Roman" w:hAnsi="EHUSans"/>
            <w:color w:val="0000FF"/>
            <w:sz w:val="24"/>
            <w:szCs w:val="24"/>
            <w:u w:val="single"/>
            <w:lang w:eastAsia="es-ES"/>
          </w:rPr>
          <w:t>AstraZeneca</w:t>
        </w:r>
        <w:proofErr w:type="spellEnd"/>
      </w:hyperlink>
      <w:r w:rsidRPr="00A36537">
        <w:rPr>
          <w:rFonts w:ascii="EHUSans" w:eastAsia="Times New Roman" w:hAnsi="EHUSans"/>
          <w:sz w:val="24"/>
          <w:szCs w:val="24"/>
          <w:lang w:eastAsia="es-ES"/>
        </w:rPr>
        <w:t xml:space="preserve"> y con </w:t>
      </w:r>
      <w:hyperlink r:id="rId86" w:history="1">
        <w:r w:rsidRPr="00A36537">
          <w:rPr>
            <w:rFonts w:ascii="EHUSans" w:eastAsia="Times New Roman" w:hAnsi="EHUSans"/>
            <w:color w:val="0000FF"/>
            <w:sz w:val="24"/>
            <w:szCs w:val="24"/>
            <w:u w:val="single"/>
            <w:lang w:eastAsia="es-ES"/>
          </w:rPr>
          <w:t>Sanofi-GSK</w:t>
        </w:r>
      </w:hyperlink>
      <w:r w:rsidRPr="00A36537">
        <w:rPr>
          <w:rFonts w:ascii="EHUSans" w:eastAsia="Times New Roman" w:hAnsi="EHUSans"/>
          <w:sz w:val="24"/>
          <w:szCs w:val="24"/>
          <w:lang w:eastAsia="es-ES"/>
        </w:rPr>
        <w:t xml:space="preserve"> y concluyó con éxito conversaciones exploratorias con </w:t>
      </w:r>
      <w:hyperlink r:id="rId87" w:history="1">
        <w:proofErr w:type="spellStart"/>
        <w:r w:rsidRPr="00A36537">
          <w:rPr>
            <w:rFonts w:ascii="EHUSans" w:eastAsia="Times New Roman" w:hAnsi="EHUSans"/>
            <w:color w:val="0000FF"/>
            <w:sz w:val="24"/>
            <w:szCs w:val="24"/>
            <w:u w:val="single"/>
            <w:lang w:eastAsia="es-ES"/>
          </w:rPr>
          <w:t>CureVac</w:t>
        </w:r>
        <w:proofErr w:type="spellEnd"/>
      </w:hyperlink>
      <w:r w:rsidRPr="00A36537">
        <w:rPr>
          <w:rFonts w:ascii="EHUSans" w:eastAsia="Times New Roman" w:hAnsi="EHUSans"/>
          <w:sz w:val="24"/>
          <w:szCs w:val="24"/>
          <w:lang w:eastAsia="es-ES"/>
        </w:rPr>
        <w:t xml:space="preserve">, </w:t>
      </w:r>
      <w:hyperlink r:id="rId88" w:history="1">
        <w:proofErr w:type="spellStart"/>
        <w:r w:rsidRPr="00A36537">
          <w:rPr>
            <w:rFonts w:ascii="EHUSans" w:eastAsia="Times New Roman" w:hAnsi="EHUSans"/>
            <w:color w:val="0000FF"/>
            <w:sz w:val="24"/>
            <w:szCs w:val="24"/>
            <w:u w:val="single"/>
            <w:lang w:eastAsia="es-ES"/>
          </w:rPr>
          <w:t>BioNTech</w:t>
        </w:r>
        <w:proofErr w:type="spellEnd"/>
        <w:r w:rsidRPr="00A36537">
          <w:rPr>
            <w:rFonts w:ascii="EHUSans" w:eastAsia="Times New Roman" w:hAnsi="EHUSans"/>
            <w:color w:val="0000FF"/>
            <w:sz w:val="24"/>
            <w:szCs w:val="24"/>
            <w:u w:val="single"/>
            <w:lang w:eastAsia="es-ES"/>
          </w:rPr>
          <w:t>-Pfizer</w:t>
        </w:r>
      </w:hyperlink>
      <w:r w:rsidRPr="00A36537">
        <w:rPr>
          <w:rFonts w:ascii="EHUSans" w:eastAsia="Times New Roman" w:hAnsi="EHUSans"/>
          <w:sz w:val="24"/>
          <w:szCs w:val="24"/>
          <w:lang w:eastAsia="es-ES"/>
        </w:rPr>
        <w:t xml:space="preserve"> y </w:t>
      </w:r>
      <w:hyperlink r:id="rId89" w:history="1">
        <w:r w:rsidRPr="00A36537">
          <w:rPr>
            <w:rFonts w:ascii="EHUSans" w:eastAsia="Times New Roman" w:hAnsi="EHUSans"/>
            <w:color w:val="0000FF"/>
            <w:sz w:val="24"/>
            <w:szCs w:val="24"/>
            <w:u w:val="single"/>
            <w:lang w:eastAsia="es-ES"/>
          </w:rPr>
          <w:t>Moderna</w:t>
        </w:r>
      </w:hyperlink>
      <w:r w:rsidRPr="00A36537">
        <w:rPr>
          <w:rFonts w:ascii="EHUSans" w:eastAsia="Times New Roman" w:hAnsi="EHUSans"/>
          <w:sz w:val="24"/>
          <w:szCs w:val="24"/>
          <w:lang w:eastAsia="es-ES"/>
        </w:rPr>
        <w:t>.</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Septiembre</w:t>
      </w:r>
    </w:p>
    <w:p w:rsidR="00A36537" w:rsidRPr="00A36537" w:rsidRDefault="00A36537" w:rsidP="00A36537">
      <w:pPr>
        <w:numPr>
          <w:ilvl w:val="0"/>
          <w:numId w:val="26"/>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25 de septiembre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El Consejo aprueba una ayuda financiera de 87 400 millones de euros a los Estados miembros con cargo al instrumento SURE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El Consejo aprobó </w:t>
      </w:r>
      <w:hyperlink r:id="rId90" w:history="1">
        <w:r w:rsidRPr="00A36537">
          <w:rPr>
            <w:rFonts w:ascii="EHUSans" w:eastAsia="Times New Roman" w:hAnsi="EHUSans"/>
            <w:color w:val="0000FF"/>
            <w:sz w:val="24"/>
            <w:szCs w:val="24"/>
            <w:u w:val="single"/>
            <w:lang w:eastAsia="es-ES"/>
          </w:rPr>
          <w:t>87 400 millones de euros de ayuda financiera</w:t>
        </w:r>
      </w:hyperlink>
      <w:r w:rsidRPr="00A36537">
        <w:rPr>
          <w:rFonts w:ascii="EHUSans" w:eastAsia="Times New Roman" w:hAnsi="EHUSans"/>
          <w:sz w:val="24"/>
          <w:szCs w:val="24"/>
          <w:lang w:eastAsia="es-ES"/>
        </w:rPr>
        <w:t xml:space="preserve"> para dieciséis Estados miembros en forma de préstamos de la UE en virtud de SURE, el Instrumento de Apoyo Temporal para Atenuar los Riesgos de Desempleo en una Emergencia.</w:t>
      </w:r>
    </w:p>
    <w:p w:rsidR="00A36537" w:rsidRPr="00A36537" w:rsidRDefault="00A36537" w:rsidP="00A36537">
      <w:pPr>
        <w:numPr>
          <w:ilvl w:val="0"/>
          <w:numId w:val="26"/>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22 de septiembre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Otros cuatro Estados miembros se incorporan a la reserva médica </w:t>
      </w:r>
      <w:proofErr w:type="spellStart"/>
      <w:r w:rsidRPr="00A36537">
        <w:rPr>
          <w:rFonts w:ascii="EHUSans" w:eastAsia="Times New Roman" w:hAnsi="EHUSans"/>
          <w:b/>
          <w:bCs/>
          <w:sz w:val="24"/>
          <w:szCs w:val="24"/>
          <w:lang w:eastAsia="es-ES"/>
        </w:rPr>
        <w:t>rescEU</w:t>
      </w:r>
      <w:proofErr w:type="spellEnd"/>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Dinamarca, Grecia, Hungría y Suecia han pasado a engrosar, junto con Alemania y Rumanía, la lista de Estados anfitriones de la </w:t>
      </w:r>
      <w:hyperlink r:id="rId91" w:history="1">
        <w:r w:rsidRPr="00A36537">
          <w:rPr>
            <w:rFonts w:ascii="EHUSans" w:eastAsia="Times New Roman" w:hAnsi="EHUSans"/>
            <w:color w:val="0000FF"/>
            <w:sz w:val="24"/>
            <w:szCs w:val="24"/>
            <w:u w:val="single"/>
            <w:lang w:eastAsia="es-ES"/>
          </w:rPr>
          <w:t xml:space="preserve">reserva de equipos médicos de </w:t>
        </w:r>
        <w:proofErr w:type="spellStart"/>
        <w:r w:rsidRPr="00A36537">
          <w:rPr>
            <w:rFonts w:ascii="EHUSans" w:eastAsia="Times New Roman" w:hAnsi="EHUSans"/>
            <w:color w:val="0000FF"/>
            <w:sz w:val="24"/>
            <w:szCs w:val="24"/>
            <w:u w:val="single"/>
            <w:lang w:eastAsia="es-ES"/>
          </w:rPr>
          <w:t>rescEU</w:t>
        </w:r>
        <w:proofErr w:type="spellEnd"/>
      </w:hyperlink>
      <w:r w:rsidRPr="00A36537">
        <w:rPr>
          <w:rFonts w:ascii="EHUSans" w:eastAsia="Times New Roman" w:hAnsi="EHUSans"/>
          <w:sz w:val="24"/>
          <w:szCs w:val="24"/>
          <w:lang w:eastAsia="es-ES"/>
        </w:rPr>
        <w:t xml:space="preserve">. Con el apoyo financiero de la Comisión Europea, seis son ahora en total los Estados miembros de la UE que están constituyendo reservas europeas comunes de equipos médicos de protección y otros equipos médicos vitales para salvar vidas que podrán </w:t>
      </w:r>
      <w:r w:rsidRPr="00A36537">
        <w:rPr>
          <w:rFonts w:ascii="EHUSans" w:eastAsia="Times New Roman" w:hAnsi="EHUSans"/>
          <w:sz w:val="24"/>
          <w:szCs w:val="24"/>
          <w:lang w:eastAsia="es-ES"/>
        </w:rPr>
        <w:lastRenderedPageBreak/>
        <w:t xml:space="preserve">distribuirse por toda Europa en situaciones de emergencia médica, por </w:t>
      </w:r>
      <w:proofErr w:type="gramStart"/>
      <w:r w:rsidRPr="00A36537">
        <w:rPr>
          <w:rFonts w:ascii="EHUSans" w:eastAsia="Times New Roman" w:hAnsi="EHUSans"/>
          <w:sz w:val="24"/>
          <w:szCs w:val="24"/>
          <w:lang w:eastAsia="es-ES"/>
        </w:rPr>
        <w:t>ejemplo</w:t>
      </w:r>
      <w:proofErr w:type="gramEnd"/>
      <w:r w:rsidRPr="00A36537">
        <w:rPr>
          <w:rFonts w:ascii="EHUSans" w:eastAsia="Times New Roman" w:hAnsi="EHUSans"/>
          <w:sz w:val="24"/>
          <w:szCs w:val="24"/>
          <w:lang w:eastAsia="es-ES"/>
        </w:rPr>
        <w:t xml:space="preserve"> cuando los sistemas sanitarios nacionales estén saturados por pacientes de coronavirus.</w:t>
      </w:r>
    </w:p>
    <w:p w:rsidR="00A36537" w:rsidRPr="00A36537" w:rsidRDefault="00A36537" w:rsidP="00A36537">
      <w:pPr>
        <w:numPr>
          <w:ilvl w:val="0"/>
          <w:numId w:val="26"/>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18 de septiembre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firma un segundo contrato para asegurarse el acceso a una posible vacuna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El 18 de septiembre entró en vigor el </w:t>
      </w:r>
      <w:hyperlink r:id="rId92" w:history="1">
        <w:r w:rsidRPr="00A36537">
          <w:rPr>
            <w:rFonts w:ascii="EHUSans" w:eastAsia="Times New Roman" w:hAnsi="EHUSans"/>
            <w:color w:val="0000FF"/>
            <w:sz w:val="24"/>
            <w:szCs w:val="24"/>
            <w:u w:val="single"/>
            <w:lang w:eastAsia="es-ES"/>
          </w:rPr>
          <w:t>segundo contrato de la Comisión con una empresa farmacéutica</w:t>
        </w:r>
      </w:hyperlink>
      <w:r w:rsidRPr="00A36537">
        <w:rPr>
          <w:rFonts w:ascii="EHUSans" w:eastAsia="Times New Roman" w:hAnsi="EHUSans"/>
          <w:sz w:val="24"/>
          <w:szCs w:val="24"/>
          <w:lang w:eastAsia="es-ES"/>
        </w:rPr>
        <w:t xml:space="preserve"> tras la firma formal del contrato con Sanofi-GSK. El contrato permitirá a todos los Estados miembros de la UE adquirir hasta 300 millones de dosis de la vacuna de Sanofi-GSK.</w:t>
      </w:r>
    </w:p>
    <w:p w:rsidR="00A36537" w:rsidRPr="00A36537" w:rsidRDefault="00A36537" w:rsidP="00A36537">
      <w:pPr>
        <w:numPr>
          <w:ilvl w:val="0"/>
          <w:numId w:val="26"/>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11 de septiembre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Puente aéreo humanitario de la UE a Perú y 30,5 millones de euros para América Latina y el Caribe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Como parte de la respuesta mundial de la UE al coronavirus, en una operación de puente aéreo humanitario de la UE con tres vuelos a Lima (Perú), se entregaron más de 4 toneladas de material vital a organizaciones humanitarias activas en el país. La UE </w:t>
      </w:r>
      <w:hyperlink r:id="rId93" w:history="1">
        <w:r w:rsidRPr="00A36537">
          <w:rPr>
            <w:rFonts w:ascii="EHUSans" w:eastAsia="Times New Roman" w:hAnsi="EHUSans"/>
            <w:color w:val="0000FF"/>
            <w:sz w:val="24"/>
            <w:szCs w:val="24"/>
            <w:u w:val="single"/>
            <w:lang w:eastAsia="es-ES"/>
          </w:rPr>
          <w:t>anunció</w:t>
        </w:r>
      </w:hyperlink>
      <w:r w:rsidRPr="00A36537">
        <w:rPr>
          <w:rFonts w:ascii="EHUSans" w:eastAsia="Times New Roman" w:hAnsi="EHUSans"/>
          <w:sz w:val="24"/>
          <w:szCs w:val="24"/>
          <w:lang w:eastAsia="es-ES"/>
        </w:rPr>
        <w:t xml:space="preserve"> también la concesión de 30,5 millones de euros de ayuda humanitaria para apoyar a los colectivos más vulnerables en América Latina y el Caribe en 2020.</w:t>
      </w:r>
    </w:p>
    <w:p w:rsidR="00A36537" w:rsidRPr="00A36537" w:rsidRDefault="00A36537" w:rsidP="00A36537">
      <w:pPr>
        <w:numPr>
          <w:ilvl w:val="0"/>
          <w:numId w:val="26"/>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10 de septiembre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OMS y la Comisión ponen en marcha el Consejo de Facilitación para reforzar la colaboración mundial</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presidenta de la Comisión Europea, </w:t>
      </w:r>
      <w:proofErr w:type="spellStart"/>
      <w:r w:rsidRPr="00A36537">
        <w:rPr>
          <w:rFonts w:ascii="EHUSans" w:eastAsia="Times New Roman" w:hAnsi="EHUSans"/>
          <w:sz w:val="24"/>
          <w:szCs w:val="24"/>
          <w:lang w:eastAsia="es-ES"/>
        </w:rPr>
        <w:t>Ursula</w:t>
      </w:r>
      <w:proofErr w:type="spellEnd"/>
      <w:r w:rsidRPr="00A36537">
        <w:rPr>
          <w:rFonts w:ascii="EHUSans" w:eastAsia="Times New Roman" w:hAnsi="EHUSans"/>
          <w:sz w:val="24"/>
          <w:szCs w:val="24"/>
          <w:lang w:eastAsia="es-ES"/>
        </w:rPr>
        <w:t xml:space="preserve"> </w:t>
      </w:r>
      <w:r w:rsidRPr="00A36537">
        <w:rPr>
          <w:rFonts w:ascii="EHUSans" w:eastAsia="Times New Roman" w:hAnsi="EHUSans"/>
          <w:b/>
          <w:bCs/>
          <w:sz w:val="24"/>
          <w:szCs w:val="24"/>
          <w:lang w:eastAsia="es-ES"/>
        </w:rPr>
        <w:t xml:space="preserve">von der </w:t>
      </w:r>
      <w:proofErr w:type="spellStart"/>
      <w:r w:rsidRPr="00A36537">
        <w:rPr>
          <w:rFonts w:ascii="EHUSans" w:eastAsia="Times New Roman" w:hAnsi="EHUSans"/>
          <w:b/>
          <w:bCs/>
          <w:sz w:val="24"/>
          <w:szCs w:val="24"/>
          <w:lang w:eastAsia="es-ES"/>
        </w:rPr>
        <w:t>Leyen</w:t>
      </w:r>
      <w:proofErr w:type="spellEnd"/>
      <w:r w:rsidRPr="00A36537">
        <w:rPr>
          <w:rFonts w:ascii="EHUSans" w:eastAsia="Times New Roman" w:hAnsi="EHUSans"/>
          <w:sz w:val="24"/>
          <w:szCs w:val="24"/>
          <w:lang w:eastAsia="es-ES"/>
        </w:rPr>
        <w:t xml:space="preserve">, y el director general de la OMS, </w:t>
      </w:r>
      <w:proofErr w:type="spellStart"/>
      <w:r w:rsidRPr="00A36537">
        <w:rPr>
          <w:rFonts w:ascii="EHUSans" w:eastAsia="Times New Roman" w:hAnsi="EHUSans"/>
          <w:sz w:val="24"/>
          <w:szCs w:val="24"/>
          <w:lang w:eastAsia="es-ES"/>
        </w:rPr>
        <w:t>Tedros</w:t>
      </w:r>
      <w:proofErr w:type="spellEnd"/>
      <w:r w:rsidRPr="00A36537">
        <w:rPr>
          <w:rFonts w:ascii="EHUSans" w:eastAsia="Times New Roman" w:hAnsi="EHUSans"/>
          <w:sz w:val="24"/>
          <w:szCs w:val="24"/>
          <w:lang w:eastAsia="es-ES"/>
        </w:rPr>
        <w:t xml:space="preserve"> </w:t>
      </w:r>
      <w:proofErr w:type="spellStart"/>
      <w:r w:rsidRPr="00A36537">
        <w:rPr>
          <w:rFonts w:ascii="EHUSans" w:eastAsia="Times New Roman" w:hAnsi="EHUSans"/>
          <w:sz w:val="24"/>
          <w:szCs w:val="24"/>
          <w:lang w:eastAsia="es-ES"/>
        </w:rPr>
        <w:t>Adhanom</w:t>
      </w:r>
      <w:proofErr w:type="spellEnd"/>
      <w:r w:rsidRPr="00A36537">
        <w:rPr>
          <w:rFonts w:ascii="EHUSans" w:eastAsia="Times New Roman" w:hAnsi="EHUSans"/>
          <w:sz w:val="24"/>
          <w:szCs w:val="24"/>
          <w:lang w:eastAsia="es-ES"/>
        </w:rPr>
        <w:t xml:space="preserve"> </w:t>
      </w:r>
      <w:proofErr w:type="spellStart"/>
      <w:r w:rsidRPr="00A36537">
        <w:rPr>
          <w:rFonts w:ascii="EHUSans" w:eastAsia="Times New Roman" w:hAnsi="EHUSans"/>
          <w:sz w:val="24"/>
          <w:szCs w:val="24"/>
          <w:lang w:eastAsia="es-ES"/>
        </w:rPr>
        <w:t>Ghebreyesus</w:t>
      </w:r>
      <w:proofErr w:type="spellEnd"/>
      <w:r w:rsidRPr="00A36537">
        <w:rPr>
          <w:rFonts w:ascii="EHUSans" w:eastAsia="Times New Roman" w:hAnsi="EHUSans"/>
          <w:sz w:val="24"/>
          <w:szCs w:val="24"/>
          <w:lang w:eastAsia="es-ES"/>
        </w:rPr>
        <w:t xml:space="preserve">, organizaron conjuntamente la primera reunión del </w:t>
      </w:r>
      <w:hyperlink r:id="rId94" w:history="1">
        <w:r w:rsidRPr="00A36537">
          <w:rPr>
            <w:rFonts w:ascii="EHUSans" w:eastAsia="Times New Roman" w:hAnsi="EHUSans"/>
            <w:color w:val="0000FF"/>
            <w:sz w:val="24"/>
            <w:szCs w:val="24"/>
            <w:u w:val="single"/>
            <w:lang w:eastAsia="es-ES"/>
          </w:rPr>
          <w:t>Consejo de Facilitación de Alto Nivel</w:t>
        </w:r>
      </w:hyperlink>
      <w:r w:rsidRPr="00A36537">
        <w:rPr>
          <w:rFonts w:ascii="EHUSans" w:eastAsia="Times New Roman" w:hAnsi="EHUSans"/>
          <w:sz w:val="24"/>
          <w:szCs w:val="24"/>
          <w:lang w:eastAsia="es-ES"/>
        </w:rPr>
        <w:t>, que lidera el trabajo del Acelerador del acceso a las herramientas contra la COVID-19 (el «ACT-A»), un marco de colaboración mundial destinado a acelerar el desarrollo y el despliegue de vacunas, pruebas y tratamientos contra la COVID-19, así como a mejorar los sistemas sanitarios.</w:t>
      </w:r>
    </w:p>
    <w:p w:rsidR="00A36537" w:rsidRPr="00A36537" w:rsidRDefault="00A36537" w:rsidP="00A36537">
      <w:pPr>
        <w:numPr>
          <w:ilvl w:val="0"/>
          <w:numId w:val="26"/>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9 de septiembre</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completa su cartera de vacunas tras las conversaciones con un sexto fabricante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culminó sus contactos exploratorios con </w:t>
      </w:r>
      <w:hyperlink r:id="rId95" w:history="1">
        <w:proofErr w:type="spellStart"/>
        <w:r w:rsidRPr="00A36537">
          <w:rPr>
            <w:rFonts w:ascii="EHUSans" w:eastAsia="Times New Roman" w:hAnsi="EHUSans"/>
            <w:color w:val="0000FF"/>
            <w:sz w:val="24"/>
            <w:szCs w:val="24"/>
            <w:u w:val="single"/>
            <w:lang w:eastAsia="es-ES"/>
          </w:rPr>
          <w:t>BioNTech</w:t>
        </w:r>
        <w:proofErr w:type="spellEnd"/>
        <w:r w:rsidRPr="00A36537">
          <w:rPr>
            <w:rFonts w:ascii="EHUSans" w:eastAsia="Times New Roman" w:hAnsi="EHUSans"/>
            <w:color w:val="0000FF"/>
            <w:sz w:val="24"/>
            <w:szCs w:val="24"/>
            <w:u w:val="single"/>
            <w:lang w:eastAsia="es-ES"/>
          </w:rPr>
          <w:t>-Pfizer</w:t>
        </w:r>
      </w:hyperlink>
      <w:r w:rsidRPr="00A36537">
        <w:rPr>
          <w:rFonts w:ascii="EHUSans" w:eastAsia="Times New Roman" w:hAnsi="EHUSans"/>
          <w:sz w:val="24"/>
          <w:szCs w:val="24"/>
          <w:lang w:eastAsia="es-ES"/>
        </w:rPr>
        <w:t xml:space="preserve"> para adquirir una posible vacuna contra la COVID-19. </w:t>
      </w:r>
      <w:proofErr w:type="spellStart"/>
      <w:r w:rsidRPr="00A36537">
        <w:rPr>
          <w:rFonts w:ascii="EHUSans" w:eastAsia="Times New Roman" w:hAnsi="EHUSans"/>
          <w:sz w:val="24"/>
          <w:szCs w:val="24"/>
          <w:lang w:eastAsia="es-ES"/>
        </w:rPr>
        <w:t>BioNTech</w:t>
      </w:r>
      <w:proofErr w:type="spellEnd"/>
      <w:r w:rsidRPr="00A36537">
        <w:rPr>
          <w:rFonts w:ascii="EHUSans" w:eastAsia="Times New Roman" w:hAnsi="EHUSans"/>
          <w:sz w:val="24"/>
          <w:szCs w:val="24"/>
          <w:lang w:eastAsia="es-ES"/>
        </w:rPr>
        <w:t xml:space="preserve">-Pfizer es la sexta empresa con la que la Comisión ha </w:t>
      </w:r>
      <w:r w:rsidRPr="00A36537">
        <w:rPr>
          <w:rFonts w:ascii="EHUSans" w:eastAsia="Times New Roman" w:hAnsi="EHUSans"/>
          <w:sz w:val="24"/>
          <w:szCs w:val="24"/>
          <w:lang w:eastAsia="es-ES"/>
        </w:rPr>
        <w:lastRenderedPageBreak/>
        <w:t xml:space="preserve">entablado conversaciones, tras </w:t>
      </w:r>
      <w:hyperlink r:id="rId96" w:history="1">
        <w:r w:rsidRPr="00A36537">
          <w:rPr>
            <w:rFonts w:ascii="EHUSans" w:eastAsia="Times New Roman" w:hAnsi="EHUSans"/>
            <w:color w:val="0000FF"/>
            <w:sz w:val="24"/>
            <w:szCs w:val="24"/>
            <w:u w:val="single"/>
            <w:lang w:eastAsia="es-ES"/>
          </w:rPr>
          <w:t>Sanofi-GSK</w:t>
        </w:r>
      </w:hyperlink>
      <w:r w:rsidRPr="00A36537">
        <w:rPr>
          <w:rFonts w:ascii="EHUSans" w:eastAsia="Times New Roman" w:hAnsi="EHUSans"/>
          <w:sz w:val="24"/>
          <w:szCs w:val="24"/>
          <w:lang w:eastAsia="es-ES"/>
        </w:rPr>
        <w:t xml:space="preserve">, </w:t>
      </w:r>
      <w:hyperlink r:id="rId97" w:history="1">
        <w:r w:rsidRPr="00A36537">
          <w:rPr>
            <w:rFonts w:ascii="EHUSans" w:eastAsia="Times New Roman" w:hAnsi="EHUSans"/>
            <w:color w:val="0000FF"/>
            <w:sz w:val="24"/>
            <w:szCs w:val="24"/>
            <w:u w:val="single"/>
            <w:lang w:eastAsia="es-ES"/>
          </w:rPr>
          <w:t>Johnson &amp; Johnson</w:t>
        </w:r>
      </w:hyperlink>
      <w:r w:rsidRPr="00A36537">
        <w:rPr>
          <w:rFonts w:ascii="EHUSans" w:eastAsia="Times New Roman" w:hAnsi="EHUSans"/>
          <w:sz w:val="24"/>
          <w:szCs w:val="24"/>
          <w:lang w:eastAsia="es-ES"/>
        </w:rPr>
        <w:t xml:space="preserve">, </w:t>
      </w:r>
      <w:hyperlink r:id="rId98" w:history="1">
        <w:proofErr w:type="spellStart"/>
        <w:r w:rsidRPr="00A36537">
          <w:rPr>
            <w:rFonts w:ascii="EHUSans" w:eastAsia="Times New Roman" w:hAnsi="EHUSans"/>
            <w:color w:val="0000FF"/>
            <w:sz w:val="24"/>
            <w:szCs w:val="24"/>
            <w:u w:val="single"/>
            <w:lang w:eastAsia="es-ES"/>
          </w:rPr>
          <w:t>CureVac</w:t>
        </w:r>
        <w:proofErr w:type="spellEnd"/>
      </w:hyperlink>
      <w:r w:rsidRPr="00A36537">
        <w:rPr>
          <w:rFonts w:ascii="EHUSans" w:eastAsia="Times New Roman" w:hAnsi="EHUSans"/>
          <w:sz w:val="24"/>
          <w:szCs w:val="24"/>
          <w:lang w:eastAsia="es-ES"/>
        </w:rPr>
        <w:t xml:space="preserve"> and </w:t>
      </w:r>
      <w:hyperlink r:id="rId99" w:history="1">
        <w:r w:rsidRPr="00A36537">
          <w:rPr>
            <w:rFonts w:ascii="EHUSans" w:eastAsia="Times New Roman" w:hAnsi="EHUSans"/>
            <w:color w:val="0000FF"/>
            <w:sz w:val="24"/>
            <w:szCs w:val="24"/>
            <w:u w:val="single"/>
            <w:lang w:eastAsia="es-ES"/>
          </w:rPr>
          <w:t>Moderna</w:t>
        </w:r>
      </w:hyperlink>
      <w:r w:rsidRPr="00A36537">
        <w:rPr>
          <w:rFonts w:ascii="EHUSans" w:eastAsia="Times New Roman" w:hAnsi="EHUSans"/>
          <w:sz w:val="24"/>
          <w:szCs w:val="24"/>
          <w:lang w:eastAsia="es-ES"/>
        </w:rPr>
        <w:t xml:space="preserve">. El primer contrato, firmado con </w:t>
      </w:r>
      <w:hyperlink r:id="rId100" w:history="1">
        <w:proofErr w:type="spellStart"/>
        <w:r w:rsidRPr="00A36537">
          <w:rPr>
            <w:rFonts w:ascii="EHUSans" w:eastAsia="Times New Roman" w:hAnsi="EHUSans"/>
            <w:color w:val="0000FF"/>
            <w:sz w:val="24"/>
            <w:szCs w:val="24"/>
            <w:u w:val="single"/>
            <w:lang w:eastAsia="es-ES"/>
          </w:rPr>
          <w:t>AstraZeneca</w:t>
        </w:r>
        <w:proofErr w:type="spellEnd"/>
      </w:hyperlink>
      <w:r w:rsidRPr="00A36537">
        <w:rPr>
          <w:rFonts w:ascii="EHUSans" w:eastAsia="Times New Roman" w:hAnsi="EHUSans"/>
          <w:sz w:val="24"/>
          <w:szCs w:val="24"/>
          <w:lang w:eastAsia="es-ES"/>
        </w:rPr>
        <w:t>, entró en vigor el 27 de agosto.</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Agosto</w:t>
      </w:r>
    </w:p>
    <w:p w:rsidR="00A36537" w:rsidRPr="00A36537" w:rsidRDefault="00A36537" w:rsidP="00A36537">
      <w:pPr>
        <w:numPr>
          <w:ilvl w:val="0"/>
          <w:numId w:val="27"/>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31 de agosto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se incorpora al Mecanismo de Acceso Mundial a las Vacunas contra la COVID-19 (COVAX)</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confirmó su interés en participar en el </w:t>
      </w:r>
      <w:hyperlink r:id="rId101" w:history="1">
        <w:r w:rsidRPr="00A36537">
          <w:rPr>
            <w:rFonts w:ascii="EHUSans" w:eastAsia="Times New Roman" w:hAnsi="EHUSans"/>
            <w:color w:val="0000FF"/>
            <w:sz w:val="24"/>
            <w:szCs w:val="24"/>
            <w:u w:val="single"/>
            <w:lang w:eastAsia="es-ES"/>
          </w:rPr>
          <w:t>Mecanismo COVAX</w:t>
        </w:r>
      </w:hyperlink>
      <w:r w:rsidRPr="00A36537">
        <w:rPr>
          <w:rFonts w:ascii="EHUSans" w:eastAsia="Times New Roman" w:hAnsi="EHUSans"/>
          <w:sz w:val="24"/>
          <w:szCs w:val="24"/>
          <w:lang w:eastAsia="es-ES"/>
        </w:rPr>
        <w:t xml:space="preserve"> para un acceso equitativo a vacunas asequibles contra la COVID-19 en todo el mundo y para todas las personas que las necesiten. Como parte de un esfuerzo del Equipo Europa, la Comisión anunció también una contribución de 400 millones de euros en garantías para apoyar al COVAX y sus objetivos en el contexto de la respuesta mundial a la crisis del coronavirus.</w:t>
      </w:r>
    </w:p>
    <w:p w:rsidR="00A36537" w:rsidRPr="00A36537" w:rsidRDefault="00A36537" w:rsidP="00A36537">
      <w:pPr>
        <w:numPr>
          <w:ilvl w:val="0"/>
          <w:numId w:val="27"/>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27 de agosto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La Comisión firma el primer contrato con </w:t>
      </w:r>
      <w:proofErr w:type="spellStart"/>
      <w:r w:rsidRPr="00A36537">
        <w:rPr>
          <w:rFonts w:ascii="EHUSans" w:eastAsia="Times New Roman" w:hAnsi="EHUSans"/>
          <w:b/>
          <w:bCs/>
          <w:sz w:val="24"/>
          <w:szCs w:val="24"/>
          <w:lang w:eastAsia="es-ES"/>
        </w:rPr>
        <w:t>AstraZeneca</w:t>
      </w:r>
      <w:proofErr w:type="spellEnd"/>
    </w:p>
    <w:p w:rsidR="00A36537" w:rsidRPr="00A36537" w:rsidRDefault="00B33016" w:rsidP="00A36537">
      <w:pPr>
        <w:spacing w:before="100" w:beforeAutospacing="1" w:after="100" w:afterAutospacing="1"/>
        <w:ind w:left="720"/>
        <w:rPr>
          <w:rFonts w:ascii="EHUSans" w:eastAsia="Times New Roman" w:hAnsi="EHUSans"/>
          <w:sz w:val="24"/>
          <w:szCs w:val="24"/>
          <w:lang w:eastAsia="es-ES"/>
        </w:rPr>
      </w:pPr>
      <w:hyperlink r:id="rId102" w:history="1">
        <w:r w:rsidR="00A36537" w:rsidRPr="00A36537">
          <w:rPr>
            <w:rFonts w:ascii="EHUSans" w:eastAsia="Times New Roman" w:hAnsi="EHUSans"/>
            <w:color w:val="0000FF"/>
            <w:sz w:val="24"/>
            <w:szCs w:val="24"/>
            <w:u w:val="single"/>
            <w:lang w:eastAsia="es-ES"/>
          </w:rPr>
          <w:t>Entrado en vigor</w:t>
        </w:r>
      </w:hyperlink>
      <w:r w:rsidR="00A36537" w:rsidRPr="00A36537">
        <w:rPr>
          <w:rFonts w:ascii="EHUSans" w:eastAsia="Times New Roman" w:hAnsi="EHUSans"/>
          <w:sz w:val="24"/>
          <w:szCs w:val="24"/>
          <w:lang w:eastAsia="es-ES"/>
        </w:rPr>
        <w:t xml:space="preserve"> el primer contrato que la Comisión Europea ha negociado en nombre de los Estados miembros de la UE con una empresa farmacéutica. El contrato facilitará a todos los Estados miembros de la UE la adquisición de una vacuna contra la COVID-19, así como su donación a países con rentas medias y bajas o la transferencia a otros países europeos. Gracias al contrato, todos los Estados miembros podrán adquirir 300 millones de dosis de la vacuna de </w:t>
      </w:r>
      <w:proofErr w:type="spellStart"/>
      <w:r w:rsidR="00A36537" w:rsidRPr="00A36537">
        <w:rPr>
          <w:rFonts w:ascii="EHUSans" w:eastAsia="Times New Roman" w:hAnsi="EHUSans"/>
          <w:sz w:val="24"/>
          <w:szCs w:val="24"/>
          <w:lang w:eastAsia="es-ES"/>
        </w:rPr>
        <w:t>AstraZeneca</w:t>
      </w:r>
      <w:proofErr w:type="spellEnd"/>
      <w:r w:rsidR="00A36537" w:rsidRPr="00A36537">
        <w:rPr>
          <w:rFonts w:ascii="EHUSans" w:eastAsia="Times New Roman" w:hAnsi="EHUSans"/>
          <w:sz w:val="24"/>
          <w:szCs w:val="24"/>
          <w:lang w:eastAsia="es-ES"/>
        </w:rPr>
        <w:t xml:space="preserve">, con opción a otros 100 millones de dosis, que se prorratearán en función de la población. La Comisión continúa las negociaciones sobre acuerdos similares con otros fabricantes de vacunas y ha concluido con éxito conversaciones exploratorias con </w:t>
      </w:r>
      <w:hyperlink r:id="rId103" w:history="1">
        <w:r w:rsidR="00A36537" w:rsidRPr="00A36537">
          <w:rPr>
            <w:rFonts w:ascii="EHUSans" w:eastAsia="Times New Roman" w:hAnsi="EHUSans"/>
            <w:color w:val="0000FF"/>
            <w:sz w:val="24"/>
            <w:szCs w:val="24"/>
            <w:u w:val="single"/>
            <w:lang w:eastAsia="es-ES"/>
          </w:rPr>
          <w:t>Sanofi-GSK</w:t>
        </w:r>
      </w:hyperlink>
      <w:r w:rsidR="00A36537" w:rsidRPr="00A36537">
        <w:rPr>
          <w:rFonts w:ascii="EHUSans" w:eastAsia="Times New Roman" w:hAnsi="EHUSans"/>
          <w:sz w:val="24"/>
          <w:szCs w:val="24"/>
          <w:lang w:eastAsia="es-ES"/>
        </w:rPr>
        <w:t xml:space="preserve"> el 31 de julio, </w:t>
      </w:r>
      <w:hyperlink r:id="rId104" w:history="1">
        <w:r w:rsidR="00A36537" w:rsidRPr="00A36537">
          <w:rPr>
            <w:rFonts w:ascii="EHUSans" w:eastAsia="Times New Roman" w:hAnsi="EHUSans"/>
            <w:color w:val="0000FF"/>
            <w:sz w:val="24"/>
            <w:szCs w:val="24"/>
            <w:u w:val="single"/>
            <w:lang w:eastAsia="es-ES"/>
          </w:rPr>
          <w:t>Johnson &amp; Johnson</w:t>
        </w:r>
      </w:hyperlink>
      <w:r w:rsidR="00A36537" w:rsidRPr="00A36537">
        <w:rPr>
          <w:rFonts w:ascii="EHUSans" w:eastAsia="Times New Roman" w:hAnsi="EHUSans"/>
          <w:sz w:val="24"/>
          <w:szCs w:val="24"/>
          <w:lang w:eastAsia="es-ES"/>
        </w:rPr>
        <w:t xml:space="preserve"> el 13 de agosto, </w:t>
      </w:r>
      <w:hyperlink r:id="rId105" w:history="1">
        <w:proofErr w:type="spellStart"/>
        <w:r w:rsidR="00A36537" w:rsidRPr="00A36537">
          <w:rPr>
            <w:rFonts w:ascii="EHUSans" w:eastAsia="Times New Roman" w:hAnsi="EHUSans"/>
            <w:color w:val="0000FF"/>
            <w:sz w:val="24"/>
            <w:szCs w:val="24"/>
            <w:u w:val="single"/>
            <w:lang w:eastAsia="es-ES"/>
          </w:rPr>
          <w:t>CureVac</w:t>
        </w:r>
        <w:proofErr w:type="spellEnd"/>
      </w:hyperlink>
      <w:r w:rsidR="00A36537" w:rsidRPr="00A36537">
        <w:rPr>
          <w:rFonts w:ascii="EHUSans" w:eastAsia="Times New Roman" w:hAnsi="EHUSans"/>
          <w:sz w:val="24"/>
          <w:szCs w:val="24"/>
          <w:lang w:eastAsia="es-ES"/>
        </w:rPr>
        <w:t xml:space="preserve"> el 18 de agosto y </w:t>
      </w:r>
      <w:hyperlink r:id="rId106" w:history="1">
        <w:r w:rsidR="00A36537" w:rsidRPr="00A36537">
          <w:rPr>
            <w:rFonts w:ascii="EHUSans" w:eastAsia="Times New Roman" w:hAnsi="EHUSans"/>
            <w:color w:val="0000FF"/>
            <w:sz w:val="24"/>
            <w:szCs w:val="24"/>
            <w:u w:val="single"/>
            <w:lang w:eastAsia="es-ES"/>
          </w:rPr>
          <w:t>Moderna</w:t>
        </w:r>
      </w:hyperlink>
      <w:r w:rsidR="00A36537" w:rsidRPr="00A36537">
        <w:rPr>
          <w:rFonts w:ascii="EHUSans" w:eastAsia="Times New Roman" w:hAnsi="EHUSans"/>
          <w:sz w:val="24"/>
          <w:szCs w:val="24"/>
          <w:lang w:eastAsia="es-ES"/>
        </w:rPr>
        <w:t xml:space="preserve"> el 24 de agosto.</w:t>
      </w:r>
    </w:p>
    <w:p w:rsidR="00A36537" w:rsidRPr="00A36537" w:rsidRDefault="00A36537" w:rsidP="00A36537">
      <w:pPr>
        <w:numPr>
          <w:ilvl w:val="0"/>
          <w:numId w:val="27"/>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24 de agosto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propone aportar 81.400 millones de euros en concepto de ayuda financiera a 15 Estados miembros con cargo a SURE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presentó </w:t>
      </w:r>
      <w:hyperlink r:id="rId107" w:history="1">
        <w:r w:rsidRPr="00A36537">
          <w:rPr>
            <w:rFonts w:ascii="EHUSans" w:eastAsia="Times New Roman" w:hAnsi="EHUSans"/>
            <w:color w:val="0000FF"/>
            <w:sz w:val="24"/>
            <w:szCs w:val="24"/>
            <w:u w:val="single"/>
            <w:lang w:eastAsia="es-ES"/>
          </w:rPr>
          <w:t>propuestas al Consejo</w:t>
        </w:r>
      </w:hyperlink>
      <w:r w:rsidRPr="00A36537">
        <w:rPr>
          <w:rFonts w:ascii="EHUSans" w:eastAsia="Times New Roman" w:hAnsi="EHUSans"/>
          <w:sz w:val="24"/>
          <w:szCs w:val="24"/>
          <w:lang w:eastAsia="es-ES"/>
        </w:rPr>
        <w:t xml:space="preserve"> para la adopción de decisiones por las que se concedan ayudas financieras por valor de 81.400 millones de euros a 15 Estados miembros con cargo al instrumento SURE. El instrumento SURE es un elemento crucial de la estrategia global de la Comisión para proteger a los ciudadanos y paliar </w:t>
      </w:r>
      <w:r w:rsidRPr="00A36537">
        <w:rPr>
          <w:rFonts w:ascii="EHUSans" w:eastAsia="Times New Roman" w:hAnsi="EHUSans"/>
          <w:sz w:val="24"/>
          <w:szCs w:val="24"/>
          <w:lang w:eastAsia="es-ES"/>
        </w:rPr>
        <w:lastRenderedPageBreak/>
        <w:t>las consecuencias socioeconómicas extremadamente negativas de la pandemia de coronavirus. Una vez que el Consejo haya aprobado estas propuestas, la ayuda financiera se concederá en forma de préstamos en condiciones favorables de la UE a los Estados miembros.</w:t>
      </w:r>
    </w:p>
    <w:p w:rsidR="00A36537" w:rsidRPr="00A36537" w:rsidRDefault="00A36537" w:rsidP="00A36537">
      <w:pPr>
        <w:numPr>
          <w:ilvl w:val="0"/>
          <w:numId w:val="27"/>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22 de agosto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El puente aéreo humanitario de la UE apoya a Venezuela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Como parte de la respuesta mundial de la UE contra el coronavirus, una operación de </w:t>
      </w:r>
      <w:hyperlink r:id="rId108" w:history="1">
        <w:r w:rsidRPr="00A36537">
          <w:rPr>
            <w:rFonts w:ascii="EHUSans" w:eastAsia="Times New Roman" w:hAnsi="EHUSans"/>
            <w:color w:val="0000FF"/>
            <w:sz w:val="24"/>
            <w:szCs w:val="24"/>
            <w:u w:val="single"/>
            <w:lang w:eastAsia="es-ES"/>
          </w:rPr>
          <w:t>puente aéreo con Venezuela, consistente en dos vuelos</w:t>
        </w:r>
      </w:hyperlink>
      <w:r w:rsidRPr="00A36537">
        <w:rPr>
          <w:rFonts w:ascii="EHUSans" w:eastAsia="Times New Roman" w:hAnsi="EHUSans"/>
          <w:sz w:val="24"/>
          <w:szCs w:val="24"/>
          <w:lang w:eastAsia="es-ES"/>
        </w:rPr>
        <w:t>, ha transportado un total de 82,5 toneladas de material vital que será distribuido por organizaciones humanitarias que trabajan sobre el terreno. El primer vuelo partió el 19 de agosto de Madrid con destino a Caracas y el segundo vuelo lo hizo el 21 de agosto. Estos vuelos están financiados por la UE y forman parte de las operaciones del puente aéreo humanitario en curso en zonas críticas del mundo.</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Julio</w:t>
      </w:r>
    </w:p>
    <w:p w:rsidR="00A36537" w:rsidRPr="00A36537" w:rsidRDefault="00A36537" w:rsidP="00A36537">
      <w:pPr>
        <w:numPr>
          <w:ilvl w:val="0"/>
          <w:numId w:val="2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31 de julio</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mantiene conversaciones para garantizar a los europeos la futura vacuna contra el coronavirus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ha mantenido conversaciones exploratorias con una empresa farmacéutica para </w:t>
      </w:r>
      <w:hyperlink r:id="rId109" w:history="1">
        <w:r w:rsidRPr="00A36537">
          <w:rPr>
            <w:rFonts w:ascii="EHUSans" w:eastAsia="Times New Roman" w:hAnsi="EHUSans"/>
            <w:color w:val="0000FF"/>
            <w:sz w:val="24"/>
            <w:szCs w:val="24"/>
            <w:u w:val="single"/>
            <w:lang w:eastAsia="es-ES"/>
          </w:rPr>
          <w:t>adquirir una posible vacuna contra la COVID-19</w:t>
        </w:r>
      </w:hyperlink>
      <w:r w:rsidRPr="00A36537">
        <w:rPr>
          <w:rFonts w:ascii="EHUSans" w:eastAsia="Times New Roman" w:hAnsi="EHUSans"/>
          <w:sz w:val="24"/>
          <w:szCs w:val="24"/>
          <w:lang w:eastAsia="es-ES"/>
        </w:rPr>
        <w:t>. El contrato previsto con Sanofi-GSK concedería a todos los Estados miembros de la Unión Europea la opción de adquirir la vacuna. Está previsto que, cuando una vacuna haya demostrado ser segura y eficaz contra la COVID-19, la Comisión disponga de un marco contractual para la adquisición de 300 millones de dosis, en nombre de todos los Estados miembros de la UE. La Comisión sigue manteniendo intensos debates con otros fabricantes de vacunas.</w:t>
      </w:r>
    </w:p>
    <w:p w:rsidR="00A36537" w:rsidRPr="00A36537" w:rsidRDefault="00A36537" w:rsidP="00A36537">
      <w:pPr>
        <w:numPr>
          <w:ilvl w:val="0"/>
          <w:numId w:val="2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29 de julio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45 vuelos del puente aéreo humanitario de la UE entregan más de mil toneladas de material para asistencia médica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Tras un nuevo vuelo del </w:t>
      </w:r>
      <w:hyperlink r:id="rId110" w:history="1">
        <w:r w:rsidRPr="00A36537">
          <w:rPr>
            <w:rFonts w:ascii="EHUSans" w:eastAsia="Times New Roman" w:hAnsi="EHUSans"/>
            <w:color w:val="0000FF"/>
            <w:sz w:val="24"/>
            <w:szCs w:val="24"/>
            <w:u w:val="single"/>
            <w:lang w:eastAsia="es-ES"/>
          </w:rPr>
          <w:t>puente aéreo humanitario de la UE</w:t>
        </w:r>
      </w:hyperlink>
      <w:r w:rsidRPr="00A36537">
        <w:rPr>
          <w:rFonts w:ascii="EHUSans" w:eastAsia="Times New Roman" w:hAnsi="EHUSans"/>
          <w:sz w:val="24"/>
          <w:szCs w:val="24"/>
          <w:lang w:eastAsia="es-ES"/>
        </w:rPr>
        <w:t xml:space="preserve"> a Sudán del Sur, que transportó 41 toneladas de suministros el 29 de julio, la Comisión ha coordinado y financiado ya la entrega de más de 1.100 toneladas de material médico en áreas críticas de África, Asia y América. Entre los países que han recibido apoyo figuran Afganistán, Burkina Faso, la República Centroafricana, la República Democrática del Congo, </w:t>
      </w:r>
      <w:r w:rsidRPr="00A36537">
        <w:rPr>
          <w:rFonts w:ascii="EHUSans" w:eastAsia="Times New Roman" w:hAnsi="EHUSans"/>
          <w:sz w:val="24"/>
          <w:szCs w:val="24"/>
          <w:lang w:eastAsia="es-ES"/>
        </w:rPr>
        <w:lastRenderedPageBreak/>
        <w:t>Irán, Sudán, Sudán del Sur, Haití, Somalia, Guinea-</w:t>
      </w:r>
      <w:proofErr w:type="spellStart"/>
      <w:r w:rsidRPr="00A36537">
        <w:rPr>
          <w:rFonts w:ascii="EHUSans" w:eastAsia="Times New Roman" w:hAnsi="EHUSans"/>
          <w:sz w:val="24"/>
          <w:szCs w:val="24"/>
          <w:lang w:eastAsia="es-ES"/>
        </w:rPr>
        <w:t>Bisáu</w:t>
      </w:r>
      <w:proofErr w:type="spellEnd"/>
      <w:r w:rsidRPr="00A36537">
        <w:rPr>
          <w:rFonts w:ascii="EHUSans" w:eastAsia="Times New Roman" w:hAnsi="EHUSans"/>
          <w:sz w:val="24"/>
          <w:szCs w:val="24"/>
          <w:lang w:eastAsia="es-ES"/>
        </w:rPr>
        <w:t>, Irak y Yemen. Desde su puesta en marcha el 8 de mayo de 2020, los 45 vuelos del puente aéreo también han transportado a 1.475 trabajadores sanitarios y humanitarios.</w:t>
      </w:r>
    </w:p>
    <w:p w:rsidR="00A36537" w:rsidRPr="00A36537" w:rsidRDefault="00A36537" w:rsidP="00A36537">
      <w:pPr>
        <w:numPr>
          <w:ilvl w:val="0"/>
          <w:numId w:val="2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28 de julio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Garantizar el acceso de la UE al </w:t>
      </w:r>
      <w:proofErr w:type="spellStart"/>
      <w:r w:rsidRPr="00A36537">
        <w:rPr>
          <w:rFonts w:ascii="EHUSans" w:eastAsia="Times New Roman" w:hAnsi="EHUSans"/>
          <w:b/>
          <w:bCs/>
          <w:sz w:val="24"/>
          <w:szCs w:val="24"/>
          <w:lang w:eastAsia="es-ES"/>
        </w:rPr>
        <w:t>remdesivir</w:t>
      </w:r>
      <w:proofErr w:type="spellEnd"/>
      <w:r w:rsidRPr="00A36537">
        <w:rPr>
          <w:rFonts w:ascii="EHUSans" w:eastAsia="Times New Roman" w:hAnsi="EHUSans"/>
          <w:b/>
          <w:bCs/>
          <w:sz w:val="24"/>
          <w:szCs w:val="24"/>
          <w:lang w:eastAsia="es-ES"/>
        </w:rPr>
        <w:t xml:space="preserve"> para el tratamiento de la COVID-19</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ha firmado un </w:t>
      </w:r>
      <w:hyperlink r:id="rId111" w:history="1">
        <w:r w:rsidRPr="00A36537">
          <w:rPr>
            <w:rFonts w:ascii="EHUSans" w:eastAsia="Times New Roman" w:hAnsi="EHUSans"/>
            <w:color w:val="0000FF"/>
            <w:sz w:val="24"/>
            <w:szCs w:val="24"/>
            <w:u w:val="single"/>
            <w:lang w:eastAsia="es-ES"/>
          </w:rPr>
          <w:t>contrato con la empresa farmacéutica Gilead</w:t>
        </w:r>
      </w:hyperlink>
      <w:r w:rsidRPr="00A36537">
        <w:rPr>
          <w:rFonts w:ascii="EHUSans" w:eastAsia="Times New Roman" w:hAnsi="EHUSans"/>
          <w:sz w:val="24"/>
          <w:szCs w:val="24"/>
          <w:lang w:eastAsia="es-ES"/>
        </w:rPr>
        <w:t xml:space="preserve"> para garantizar dosis de tratamiento de </w:t>
      </w:r>
      <w:proofErr w:type="spellStart"/>
      <w:r w:rsidRPr="00A36537">
        <w:rPr>
          <w:rFonts w:ascii="EHUSans" w:eastAsia="Times New Roman" w:hAnsi="EHUSans"/>
          <w:sz w:val="24"/>
          <w:szCs w:val="24"/>
          <w:lang w:eastAsia="es-ES"/>
        </w:rPr>
        <w:t>Veklury</w:t>
      </w:r>
      <w:proofErr w:type="spellEnd"/>
      <w:r w:rsidRPr="00A36537">
        <w:rPr>
          <w:rFonts w:ascii="EHUSans" w:eastAsia="Times New Roman" w:hAnsi="EHUSans"/>
          <w:sz w:val="24"/>
          <w:szCs w:val="24"/>
          <w:lang w:eastAsia="es-ES"/>
        </w:rPr>
        <w:t xml:space="preserve">, que es el nombre comercial del </w:t>
      </w:r>
      <w:proofErr w:type="spellStart"/>
      <w:r w:rsidRPr="00A36537">
        <w:rPr>
          <w:rFonts w:ascii="EHUSans" w:eastAsia="Times New Roman" w:hAnsi="EHUSans"/>
          <w:sz w:val="24"/>
          <w:szCs w:val="24"/>
          <w:lang w:eastAsia="es-ES"/>
        </w:rPr>
        <w:t>remdesivir</w:t>
      </w:r>
      <w:proofErr w:type="spellEnd"/>
      <w:r w:rsidRPr="00A36537">
        <w:rPr>
          <w:rFonts w:ascii="EHUSans" w:eastAsia="Times New Roman" w:hAnsi="EHUSans"/>
          <w:sz w:val="24"/>
          <w:szCs w:val="24"/>
          <w:lang w:eastAsia="es-ES"/>
        </w:rPr>
        <w:t xml:space="preserve">. </w:t>
      </w:r>
      <w:proofErr w:type="spellStart"/>
      <w:r w:rsidRPr="00A36537">
        <w:rPr>
          <w:rFonts w:ascii="EHUSans" w:eastAsia="Times New Roman" w:hAnsi="EHUSans"/>
          <w:sz w:val="24"/>
          <w:szCs w:val="24"/>
          <w:lang w:eastAsia="es-ES"/>
        </w:rPr>
        <w:t>Veklury</w:t>
      </w:r>
      <w:proofErr w:type="spellEnd"/>
      <w:r w:rsidRPr="00A36537">
        <w:rPr>
          <w:rFonts w:ascii="EHUSans" w:eastAsia="Times New Roman" w:hAnsi="EHUSans"/>
          <w:sz w:val="24"/>
          <w:szCs w:val="24"/>
          <w:lang w:eastAsia="es-ES"/>
        </w:rPr>
        <w:t xml:space="preserve"> fue el primer medicamento autorizado a nivel de la UE para el tratamiento de la COVID-19. A partir de principios de agosto, se pondrán a disposición de los Estados miembros y el Reino Unido lotes de </w:t>
      </w:r>
      <w:proofErr w:type="spellStart"/>
      <w:r w:rsidRPr="00A36537">
        <w:rPr>
          <w:rFonts w:ascii="EHUSans" w:eastAsia="Times New Roman" w:hAnsi="EHUSans"/>
          <w:sz w:val="24"/>
          <w:szCs w:val="24"/>
          <w:lang w:eastAsia="es-ES"/>
        </w:rPr>
        <w:t>Veklury</w:t>
      </w:r>
      <w:proofErr w:type="spellEnd"/>
      <w:r w:rsidRPr="00A36537">
        <w:rPr>
          <w:rFonts w:ascii="EHUSans" w:eastAsia="Times New Roman" w:hAnsi="EHUSans"/>
          <w:sz w:val="24"/>
          <w:szCs w:val="24"/>
          <w:lang w:eastAsia="es-ES"/>
        </w:rPr>
        <w:t>, con la coordinación y el apoyo de la Comisión, a fin de atender las necesidades inmediatas.</w:t>
      </w:r>
    </w:p>
    <w:p w:rsidR="00A36537" w:rsidRPr="00A36537" w:rsidRDefault="00A36537" w:rsidP="00A36537">
      <w:pPr>
        <w:numPr>
          <w:ilvl w:val="0"/>
          <w:numId w:val="2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27 de julio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Convocatoria para crear asociaciones innovadoras entre las regiones de la UE a fin de apoyar la respuesta y la recuperación</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pone en marcha una </w:t>
      </w:r>
      <w:hyperlink r:id="rId112" w:history="1">
        <w:r w:rsidRPr="00A36537">
          <w:rPr>
            <w:rFonts w:ascii="EHUSans" w:eastAsia="Times New Roman" w:hAnsi="EHUSans"/>
            <w:color w:val="0000FF"/>
            <w:sz w:val="24"/>
            <w:szCs w:val="24"/>
            <w:u w:val="single"/>
            <w:lang w:eastAsia="es-ES"/>
          </w:rPr>
          <w:t>convocatoria de manifestaciones de interés dirigida al establecimiento de asociaciones temáticas que piloten proyectos de innovación interregionales a fin de apoyar la respuesta y la recuperación tras la pandemia de coronavirus</w:t>
        </w:r>
      </w:hyperlink>
      <w:r w:rsidRPr="00A36537">
        <w:rPr>
          <w:rFonts w:ascii="EHUSans" w:eastAsia="Times New Roman" w:hAnsi="EHUSans"/>
          <w:sz w:val="24"/>
          <w:szCs w:val="24"/>
          <w:lang w:eastAsia="es-ES"/>
        </w:rPr>
        <w:t>. El objetivo de la convocatoria es ayudar a las regiones a aprovechar las oportunidades que surjan de la crisis, reforzar la resiliencia y desarrollar la transformación digital y ecológica para la recuperación de los sectores más afectados, como la sanidad y el turismo.</w:t>
      </w:r>
    </w:p>
    <w:p w:rsidR="00A36537" w:rsidRPr="00A36537" w:rsidRDefault="00A36537" w:rsidP="00A36537">
      <w:pPr>
        <w:numPr>
          <w:ilvl w:val="0"/>
          <w:numId w:val="2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24 de julio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Hacer que los mercados de capitales contribuyan a la recuperación de Europa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adopta un </w:t>
      </w:r>
      <w:hyperlink r:id="rId113" w:history="1">
        <w:r w:rsidRPr="00A36537">
          <w:rPr>
            <w:rFonts w:ascii="EHUSans" w:eastAsia="Times New Roman" w:hAnsi="EHUSans"/>
            <w:color w:val="0000FF"/>
            <w:sz w:val="24"/>
            <w:szCs w:val="24"/>
            <w:u w:val="single"/>
            <w:lang w:eastAsia="es-ES"/>
          </w:rPr>
          <w:t>Paquete de Recuperación de los Mercados de Capitales</w:t>
        </w:r>
      </w:hyperlink>
      <w:r w:rsidRPr="00A36537">
        <w:rPr>
          <w:rFonts w:ascii="EHUSans" w:eastAsia="Times New Roman" w:hAnsi="EHUSans"/>
          <w:sz w:val="24"/>
          <w:szCs w:val="24"/>
          <w:lang w:eastAsia="es-ES"/>
        </w:rPr>
        <w:t xml:space="preserve"> en el contexto de su estrategia general de recuperación de la crisis del coronavirus. Estas medidas tienen por objeto facilitar a los mercados de capitales el apoyo a las empresas europeas para que se recuperen de la crisis.  El paquete propone modificaciones específicas de las normas del mercado de capitales que fomentarán mayores inversiones en la economía, permitirán una rápida recapitalización de las empresas y aumentarán la capacidad de los bancos para financiar la recuperación.</w:t>
      </w:r>
    </w:p>
    <w:p w:rsidR="00A36537" w:rsidRPr="00A36537" w:rsidRDefault="00A36537" w:rsidP="00A36537">
      <w:pPr>
        <w:numPr>
          <w:ilvl w:val="0"/>
          <w:numId w:val="2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21 de julio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lastRenderedPageBreak/>
        <w:t>Los dirigentes de la UE acuerdan el plan de recuperación y el marco financiero plurianual para el período 2021-2027</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Tras cuatro días de negociaciones, los dirigentes de la UE llegan a un acuerdo sobre el </w:t>
      </w:r>
      <w:hyperlink r:id="rId114" w:history="1">
        <w:r w:rsidRPr="00A36537">
          <w:rPr>
            <w:rFonts w:ascii="EHUSans" w:eastAsia="Times New Roman" w:hAnsi="EHUSans"/>
            <w:color w:val="0000FF"/>
            <w:sz w:val="24"/>
            <w:szCs w:val="24"/>
            <w:u w:val="single"/>
            <w:lang w:eastAsia="es-ES"/>
          </w:rPr>
          <w:t>plan de recuperación para Europa</w:t>
        </w:r>
      </w:hyperlink>
      <w:r w:rsidRPr="00A36537">
        <w:rPr>
          <w:rFonts w:ascii="EHUSans" w:eastAsia="Times New Roman" w:hAnsi="EHUSans"/>
          <w:sz w:val="24"/>
          <w:szCs w:val="24"/>
          <w:lang w:eastAsia="es-ES"/>
        </w:rPr>
        <w:t xml:space="preserve">. Más del 50 % del presupuesto de la UE a largo plazo y de </w:t>
      </w:r>
      <w:proofErr w:type="spellStart"/>
      <w:r w:rsidRPr="00A36537">
        <w:rPr>
          <w:rFonts w:ascii="EHUSans" w:eastAsia="Times New Roman" w:hAnsi="EHUSans"/>
          <w:sz w:val="24"/>
          <w:szCs w:val="24"/>
          <w:lang w:eastAsia="es-ES"/>
        </w:rPr>
        <w:t>Next</w:t>
      </w:r>
      <w:proofErr w:type="spellEnd"/>
      <w:r w:rsidRPr="00A36537">
        <w:rPr>
          <w:rFonts w:ascii="EHUSans" w:eastAsia="Times New Roman" w:hAnsi="EHUSans"/>
          <w:sz w:val="24"/>
          <w:szCs w:val="24"/>
          <w:lang w:eastAsia="es-ES"/>
        </w:rPr>
        <w:t xml:space="preserve"> </w:t>
      </w:r>
      <w:proofErr w:type="spellStart"/>
      <w:r w:rsidRPr="00A36537">
        <w:rPr>
          <w:rFonts w:ascii="EHUSans" w:eastAsia="Times New Roman" w:hAnsi="EHUSans"/>
          <w:sz w:val="24"/>
          <w:szCs w:val="24"/>
          <w:lang w:eastAsia="es-ES"/>
        </w:rPr>
        <w:t>Generation</w:t>
      </w:r>
      <w:proofErr w:type="spellEnd"/>
      <w:r w:rsidRPr="00A36537">
        <w:rPr>
          <w:rFonts w:ascii="EHUSans" w:eastAsia="Times New Roman" w:hAnsi="EHUSans"/>
          <w:sz w:val="24"/>
          <w:szCs w:val="24"/>
          <w:lang w:eastAsia="es-ES"/>
        </w:rPr>
        <w:t xml:space="preserve"> EU —un total de aproximadamente 1,8 billones de euros— apoyarán políticas modernas y situarán a Europa en la senda hacia una recuperación sostenible y </w:t>
      </w:r>
      <w:proofErr w:type="spellStart"/>
      <w:r w:rsidRPr="00A36537">
        <w:rPr>
          <w:rFonts w:ascii="EHUSans" w:eastAsia="Times New Roman" w:hAnsi="EHUSans"/>
          <w:sz w:val="24"/>
          <w:szCs w:val="24"/>
          <w:lang w:eastAsia="es-ES"/>
        </w:rPr>
        <w:t>resiliente</w:t>
      </w:r>
      <w:proofErr w:type="spellEnd"/>
      <w:r w:rsidRPr="00A36537">
        <w:rPr>
          <w:rFonts w:ascii="EHUSans" w:eastAsia="Times New Roman" w:hAnsi="EHUSans"/>
          <w:sz w:val="24"/>
          <w:szCs w:val="24"/>
          <w:lang w:eastAsia="es-ES"/>
        </w:rPr>
        <w:t>.</w:t>
      </w:r>
    </w:p>
    <w:p w:rsidR="00A36537" w:rsidRPr="00A36537" w:rsidRDefault="00A36537" w:rsidP="00A36537">
      <w:pPr>
        <w:numPr>
          <w:ilvl w:val="0"/>
          <w:numId w:val="2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20 de julio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Apoyo a las personas más vulnerables del África austral</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ofrece 64,7 millones de euros en ayuda humanitaria a los </w:t>
      </w:r>
      <w:hyperlink r:id="rId115" w:history="1">
        <w:r w:rsidRPr="00A36537">
          <w:rPr>
            <w:rFonts w:ascii="EHUSans" w:eastAsia="Times New Roman" w:hAnsi="EHUSans"/>
            <w:color w:val="0000FF"/>
            <w:sz w:val="24"/>
            <w:szCs w:val="24"/>
            <w:u w:val="single"/>
            <w:lang w:eastAsia="es-ES"/>
          </w:rPr>
          <w:t>países de la región del África Austral</w:t>
        </w:r>
      </w:hyperlink>
      <w:r w:rsidRPr="00A36537">
        <w:rPr>
          <w:rFonts w:ascii="EHUSans" w:eastAsia="Times New Roman" w:hAnsi="EHUSans"/>
          <w:sz w:val="24"/>
          <w:szCs w:val="24"/>
          <w:lang w:eastAsia="es-ES"/>
        </w:rPr>
        <w:t xml:space="preserve"> para ayudar a las personas necesitadas a hacer frente a la pandemia de coronavirus, a las condiciones meteorológicas extremas, como la persistente sequía en la región, y a otras crisis.</w:t>
      </w:r>
    </w:p>
    <w:p w:rsidR="00A36537" w:rsidRPr="00A36537" w:rsidRDefault="00A36537" w:rsidP="00A36537">
      <w:pPr>
        <w:numPr>
          <w:ilvl w:val="0"/>
          <w:numId w:val="2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16 de julio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Proteger a los trabajadores de temporada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presenta </w:t>
      </w:r>
      <w:hyperlink r:id="rId116" w:history="1">
        <w:r w:rsidRPr="00A36537">
          <w:rPr>
            <w:rFonts w:ascii="EHUSans" w:eastAsia="Times New Roman" w:hAnsi="EHUSans"/>
            <w:color w:val="0000FF"/>
            <w:sz w:val="24"/>
            <w:szCs w:val="24"/>
            <w:u w:val="single"/>
            <w:lang w:eastAsia="es-ES"/>
          </w:rPr>
          <w:t>directrices para garantizar la protección de los trabajadores temporeros</w:t>
        </w:r>
      </w:hyperlink>
      <w:r w:rsidRPr="00A36537">
        <w:rPr>
          <w:rFonts w:ascii="EHUSans" w:eastAsia="Times New Roman" w:hAnsi="EHUSans"/>
          <w:sz w:val="24"/>
          <w:szCs w:val="24"/>
          <w:lang w:eastAsia="es-ES"/>
        </w:rPr>
        <w:t xml:space="preserve"> en la UE en el contexto de la pandemia de coronavirus. Ofrece pautas a las autoridades nacionales, a las inspecciones de trabajo y a los interlocutores sociales para garantizar los derechos, la salud y la seguridad de los trabajadores de temporada y hacer que estos sean conscientes de sus derechos.</w:t>
      </w:r>
    </w:p>
    <w:p w:rsidR="00A36537" w:rsidRPr="00A36537" w:rsidRDefault="00A36537" w:rsidP="00A36537">
      <w:pPr>
        <w:numPr>
          <w:ilvl w:val="0"/>
          <w:numId w:val="2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15 de julio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refuerza la preparación frente a futuros brotes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presenta medidas inmediatas a corto plazo para reforzar la </w:t>
      </w:r>
      <w:hyperlink r:id="rId117" w:history="1">
        <w:r w:rsidRPr="00A36537">
          <w:rPr>
            <w:rFonts w:ascii="EHUSans" w:eastAsia="Times New Roman" w:hAnsi="EHUSans"/>
            <w:color w:val="0000FF"/>
            <w:sz w:val="24"/>
            <w:szCs w:val="24"/>
            <w:u w:val="single"/>
            <w:lang w:eastAsia="es-ES"/>
          </w:rPr>
          <w:t>preparación sanitaria de la UE frente a posibles brotes de COVID-19 en el futuro</w:t>
        </w:r>
      </w:hyperlink>
      <w:r w:rsidRPr="00A36537">
        <w:rPr>
          <w:rFonts w:ascii="EHUSans" w:eastAsia="Times New Roman" w:hAnsi="EHUSans"/>
          <w:sz w:val="24"/>
          <w:szCs w:val="24"/>
          <w:lang w:eastAsia="es-ES"/>
        </w:rPr>
        <w:t>. Se trata de acciones en distintos ámbitos, tales como pruebas y rastreo de contactos, mejora de la vigilancia de la salud pública o mayor acceso a contramedidas médicas. También se prevén medidas relativas a la capacidad de expansión asistencial, contramedidas no farmacéuticas, apoyo a las minorías y a las personas vulnerables y actividades para reducir la carga de la gripe estacional.</w:t>
      </w:r>
    </w:p>
    <w:p w:rsidR="00A36537" w:rsidRPr="00A36537" w:rsidRDefault="00A36537" w:rsidP="00A36537">
      <w:pPr>
        <w:numPr>
          <w:ilvl w:val="0"/>
          <w:numId w:val="28"/>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14 de julio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24 millones de euros para Uganda en el contexto de la pandemia de coronavirus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lastRenderedPageBreak/>
        <w:t xml:space="preserve">La UE proporcionará </w:t>
      </w:r>
      <w:hyperlink r:id="rId118" w:history="1">
        <w:r w:rsidRPr="00A36537">
          <w:rPr>
            <w:rFonts w:ascii="EHUSans" w:eastAsia="Times New Roman" w:hAnsi="EHUSans"/>
            <w:color w:val="0000FF"/>
            <w:sz w:val="24"/>
            <w:szCs w:val="24"/>
            <w:u w:val="single"/>
            <w:lang w:eastAsia="es-ES"/>
          </w:rPr>
          <w:t>24 millones de euros en ayuda humanitaria</w:t>
        </w:r>
      </w:hyperlink>
      <w:r w:rsidRPr="00A36537">
        <w:rPr>
          <w:rFonts w:ascii="EHUSans" w:eastAsia="Times New Roman" w:hAnsi="EHUSans"/>
          <w:sz w:val="24"/>
          <w:szCs w:val="24"/>
          <w:lang w:eastAsia="es-ES"/>
        </w:rPr>
        <w:t xml:space="preserve"> a las personas más vulnerables de Uganda en 2020, prestando especial atención a los refugiados y a sus comunidades de acogida. Además, la UE también ha destinado un millón de euros a las organizaciones de ayuda de Uganda para apoyar las medidas de preparación y control del coronavirus, en consonancia con el plan nacional de respuesta.</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Junio</w:t>
      </w:r>
    </w:p>
    <w:p w:rsidR="00A36537" w:rsidRPr="00A36537" w:rsidRDefault="00A36537" w:rsidP="00A36537">
      <w:pPr>
        <w:numPr>
          <w:ilvl w:val="0"/>
          <w:numId w:val="2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29 de junio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Ampliación del Marco Temporal para seguir respaldando a las microempresas, las pequeñas empresas y las empresas emergentes e incentivar la inversión privada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ha </w:t>
      </w:r>
      <w:hyperlink r:id="rId119" w:history="1">
        <w:r w:rsidRPr="00A36537">
          <w:rPr>
            <w:rFonts w:ascii="EHUSans" w:eastAsia="Times New Roman" w:hAnsi="EHUSans"/>
            <w:color w:val="0000FF"/>
            <w:sz w:val="24"/>
            <w:szCs w:val="24"/>
            <w:u w:val="single"/>
            <w:lang w:eastAsia="es-ES"/>
          </w:rPr>
          <w:t>adoptado una tercera modificación</w:t>
        </w:r>
      </w:hyperlink>
      <w:r w:rsidRPr="00A36537">
        <w:rPr>
          <w:rFonts w:ascii="EHUSans" w:eastAsia="Times New Roman" w:hAnsi="EHUSans"/>
          <w:sz w:val="24"/>
          <w:szCs w:val="24"/>
          <w:lang w:eastAsia="es-ES"/>
        </w:rPr>
        <w:t xml:space="preserve"> para ampliar el ámbito de aplicación del </w:t>
      </w:r>
      <w:hyperlink r:id="rId120" w:history="1">
        <w:r w:rsidRPr="00A36537">
          <w:rPr>
            <w:rFonts w:ascii="EHUSans" w:eastAsia="Times New Roman" w:hAnsi="EHUSans"/>
            <w:color w:val="0000FF"/>
            <w:sz w:val="24"/>
            <w:szCs w:val="24"/>
            <w:u w:val="single"/>
            <w:lang w:eastAsia="es-ES"/>
          </w:rPr>
          <w:t>Marco Temporal de ayudas estatales</w:t>
        </w:r>
      </w:hyperlink>
      <w:r w:rsidRPr="00A36537">
        <w:rPr>
          <w:rFonts w:ascii="EHUSans" w:eastAsia="Times New Roman" w:hAnsi="EHUSans"/>
          <w:sz w:val="24"/>
          <w:szCs w:val="24"/>
          <w:lang w:eastAsia="es-ES"/>
        </w:rPr>
        <w:t>, adoptado el 19 de marzo de 2020, que</w:t>
      </w:r>
      <w:r w:rsidRPr="00A36537">
        <w:rPr>
          <w:rFonts w:ascii="EHUSans" w:eastAsia="Times New Roman" w:hAnsi="EHUSans"/>
          <w:i/>
          <w:iCs/>
          <w:sz w:val="24"/>
          <w:szCs w:val="24"/>
          <w:lang w:eastAsia="es-ES"/>
        </w:rPr>
        <w:t xml:space="preserve"> </w:t>
      </w:r>
      <w:r w:rsidRPr="00A36537">
        <w:rPr>
          <w:rFonts w:ascii="EHUSans" w:eastAsia="Times New Roman" w:hAnsi="EHUSans"/>
          <w:sz w:val="24"/>
          <w:szCs w:val="24"/>
          <w:lang w:eastAsia="es-ES"/>
        </w:rPr>
        <w:t>permite a los Estados miembros proporcionar más apoyo a las microempresas, las pequeñas empresas y las empresas emergentes</w:t>
      </w:r>
      <w:r w:rsidRPr="00A36537">
        <w:rPr>
          <w:rFonts w:ascii="EHUSans" w:eastAsia="Times New Roman" w:hAnsi="EHUSans"/>
          <w:i/>
          <w:iCs/>
          <w:sz w:val="24"/>
          <w:szCs w:val="24"/>
          <w:lang w:eastAsia="es-ES"/>
        </w:rPr>
        <w:t xml:space="preserve">. </w:t>
      </w:r>
      <w:r w:rsidRPr="00A36537">
        <w:rPr>
          <w:rFonts w:ascii="EHUSans" w:eastAsia="Times New Roman" w:hAnsi="EHUSans"/>
          <w:sz w:val="24"/>
          <w:szCs w:val="24"/>
          <w:lang w:eastAsia="es-ES"/>
        </w:rPr>
        <w:t>El principal objetivo del Marco Temporal es prestar apoyo específico a empresas que, por lo demás, son viables y que se encuentran en crisis como consecuencia de la pandemia de coronavirus.</w:t>
      </w:r>
    </w:p>
    <w:p w:rsidR="00A36537" w:rsidRPr="00A36537" w:rsidRDefault="00A36537" w:rsidP="00A36537">
      <w:pPr>
        <w:numPr>
          <w:ilvl w:val="0"/>
          <w:numId w:val="2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27 de junio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Respuesta mundial a la crisis del coronavirus: el BEI y la Comisión se comprometen a movilizar 4.900 millones de euros más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w:t>
      </w:r>
      <w:hyperlink r:id="rId121" w:history="1">
        <w:r w:rsidRPr="00A36537">
          <w:rPr>
            <w:rFonts w:ascii="EHUSans" w:eastAsia="Times New Roman" w:hAnsi="EHUSans"/>
            <w:color w:val="0000FF"/>
            <w:sz w:val="24"/>
            <w:szCs w:val="24"/>
            <w:u w:val="single"/>
            <w:lang w:eastAsia="es-ES"/>
          </w:rPr>
          <w:t>cumbre de donantes</w:t>
        </w:r>
      </w:hyperlink>
      <w:r w:rsidRPr="00A36537">
        <w:rPr>
          <w:rFonts w:ascii="EHUSans" w:eastAsia="Times New Roman" w:hAnsi="EHUSans"/>
          <w:sz w:val="24"/>
          <w:szCs w:val="24"/>
          <w:lang w:eastAsia="es-ES"/>
        </w:rPr>
        <w:t xml:space="preserve"> «Objetivo global: unidos por nuestro futuro», organizada el 27 de junio por la Comisión Europea y Global </w:t>
      </w:r>
      <w:proofErr w:type="spellStart"/>
      <w:r w:rsidRPr="00A36537">
        <w:rPr>
          <w:rFonts w:ascii="EHUSans" w:eastAsia="Times New Roman" w:hAnsi="EHUSans"/>
          <w:sz w:val="24"/>
          <w:szCs w:val="24"/>
          <w:lang w:eastAsia="es-ES"/>
        </w:rPr>
        <w:t>Citizen</w:t>
      </w:r>
      <w:proofErr w:type="spellEnd"/>
      <w:r w:rsidRPr="00A36537">
        <w:rPr>
          <w:rFonts w:ascii="EHUSans" w:eastAsia="Times New Roman" w:hAnsi="EHUSans"/>
          <w:sz w:val="24"/>
          <w:szCs w:val="24"/>
          <w:lang w:eastAsia="es-ES"/>
        </w:rPr>
        <w:t xml:space="preserve">, movilizó 6.150 millones de euros de financiación suplementaria para contribuir a desarrollar vacunas, pruebas y tratamientos contra el coronavirus, y garantizar un acceso equitativo a ellos. Este importe incluye 4.900 millones de euros comprometidos por el Banco Europeo de Inversiones, en asociación con la Comisión Europea, y 485 millones de euros comprometidos por los Estados miembros de la UE. Esto eleva el importe comprometido en el marco del maratón de donaciones para la </w:t>
      </w:r>
      <w:hyperlink r:id="rId122" w:history="1">
        <w:r w:rsidRPr="00A36537">
          <w:rPr>
            <w:rFonts w:ascii="EHUSans" w:eastAsia="Times New Roman" w:hAnsi="EHUSans"/>
            <w:color w:val="0000FF"/>
            <w:sz w:val="24"/>
            <w:szCs w:val="24"/>
            <w:u w:val="single"/>
            <w:lang w:eastAsia="es-ES"/>
          </w:rPr>
          <w:t>respuesta mundial a la crisis del coronavirus</w:t>
        </w:r>
      </w:hyperlink>
      <w:r w:rsidRPr="00A36537">
        <w:rPr>
          <w:rFonts w:ascii="EHUSans" w:eastAsia="Times New Roman" w:hAnsi="EHUSans"/>
          <w:sz w:val="24"/>
          <w:szCs w:val="24"/>
          <w:lang w:eastAsia="es-ES"/>
        </w:rPr>
        <w:t xml:space="preserve"> a 15.900 millones de euros.</w:t>
      </w:r>
    </w:p>
    <w:p w:rsidR="00A36537" w:rsidRPr="00A36537" w:rsidRDefault="00A36537" w:rsidP="00A36537">
      <w:pPr>
        <w:numPr>
          <w:ilvl w:val="0"/>
          <w:numId w:val="2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24 de junio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Mayor apoyo a los agricultores de la UE afectados por la crisis de la COVID-19</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En esta fecha, el Consejo </w:t>
      </w:r>
      <w:hyperlink r:id="rId123" w:history="1">
        <w:r w:rsidRPr="00A36537">
          <w:rPr>
            <w:rFonts w:ascii="EHUSans" w:eastAsia="Times New Roman" w:hAnsi="EHUSans"/>
            <w:color w:val="0000FF"/>
            <w:sz w:val="24"/>
            <w:szCs w:val="24"/>
            <w:u w:val="single"/>
            <w:lang w:eastAsia="es-ES"/>
          </w:rPr>
          <w:t>adopta un Reglamento</w:t>
        </w:r>
      </w:hyperlink>
      <w:r w:rsidRPr="00A36537">
        <w:rPr>
          <w:rFonts w:ascii="EHUSans" w:eastAsia="Times New Roman" w:hAnsi="EHUSans"/>
          <w:sz w:val="24"/>
          <w:szCs w:val="24"/>
          <w:lang w:eastAsia="es-ES"/>
        </w:rPr>
        <w:t xml:space="preserve"> que permite a los Estados miembros, como medida excepcional, abonar hasta 7.000 euros a los agricultores y hasta 50.000 euros a las pymes que se dedican a la </w:t>
      </w:r>
      <w:r w:rsidRPr="00A36537">
        <w:rPr>
          <w:rFonts w:ascii="EHUSans" w:eastAsia="Times New Roman" w:hAnsi="EHUSans"/>
          <w:sz w:val="24"/>
          <w:szCs w:val="24"/>
          <w:lang w:eastAsia="es-ES"/>
        </w:rPr>
        <w:lastRenderedPageBreak/>
        <w:t>transformación, comercialización o desarrollo de productos agrícolas o algodón (quedan excluidos los productos de la pesca). El objetivo es hacer uso de los fondos disponibles en el marco de los programas de desarrollo rural vigentes para prestar apoyo a los agricultores y a las pymes que más han sufrido los efectos de la crisis de la COVID-19, así como hacer frente a los problemas de liquidez y flujo de caja derivados del cierre de comercios, mercados y restaurantes.</w:t>
      </w:r>
    </w:p>
    <w:p w:rsidR="00A36537" w:rsidRPr="00A36537" w:rsidRDefault="00A36537" w:rsidP="00A36537">
      <w:pPr>
        <w:numPr>
          <w:ilvl w:val="0"/>
          <w:numId w:val="2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24 de junio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El Consejo acuerda el diferimiento de determinadas normas fiscales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El Consejo </w:t>
      </w:r>
      <w:hyperlink r:id="rId124" w:history="1">
        <w:r w:rsidRPr="00A36537">
          <w:rPr>
            <w:rFonts w:ascii="EHUSans" w:eastAsia="Times New Roman" w:hAnsi="EHUSans"/>
            <w:color w:val="0000FF"/>
            <w:sz w:val="24"/>
            <w:szCs w:val="24"/>
            <w:u w:val="single"/>
            <w:lang w:eastAsia="es-ES"/>
          </w:rPr>
          <w:t>adopta una modificación</w:t>
        </w:r>
      </w:hyperlink>
      <w:r w:rsidRPr="00A36537">
        <w:rPr>
          <w:rFonts w:ascii="EHUSans" w:eastAsia="Times New Roman" w:hAnsi="EHUSans"/>
          <w:sz w:val="24"/>
          <w:szCs w:val="24"/>
          <w:lang w:eastAsia="es-ES"/>
        </w:rPr>
        <w:t xml:space="preserve"> de la Directiva relativa a la cooperación administrativa en el ámbito de la fiscalidad, por la que se permite a los Estados miembros diferir hasta 6 meses el plazo para la presentación e intercambio de la siguiente información: intercambio automático de información sobre las cuentas financieras cuyos beneficiarios sean residentes fiscales en otro Estado miembro y mecanismos transfronterizos de planificación fiscal sujetos a comunicación de información.</w:t>
      </w:r>
    </w:p>
    <w:p w:rsidR="00A36537" w:rsidRPr="00A36537" w:rsidRDefault="00A36537" w:rsidP="00A36537">
      <w:pPr>
        <w:numPr>
          <w:ilvl w:val="0"/>
          <w:numId w:val="2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24 de junio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Puente aéreo humanitario de la UE en apoyo a Sudán</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En esta fecha, llega a Sudán el segundo de los dos vuelos del puente aéreo humanitario de la UE, con trabajadores humanitarios y suministros esenciales para las personas necesitadas, en apoyo a la respuesta del país contra el coronavirus. Este </w:t>
      </w:r>
      <w:hyperlink r:id="rId125" w:history="1">
        <w:r w:rsidRPr="00A36537">
          <w:rPr>
            <w:rFonts w:ascii="EHUSans" w:eastAsia="Times New Roman" w:hAnsi="EHUSans"/>
            <w:color w:val="0000FF"/>
            <w:sz w:val="24"/>
            <w:szCs w:val="24"/>
            <w:u w:val="single"/>
            <w:lang w:eastAsia="es-ES"/>
          </w:rPr>
          <w:t>vuelo del puente aéreo humanitario plenamente financiado por la UE</w:t>
        </w:r>
      </w:hyperlink>
      <w:r w:rsidRPr="00A36537">
        <w:rPr>
          <w:rFonts w:ascii="EHUSans" w:eastAsia="Times New Roman" w:hAnsi="EHUSans"/>
          <w:sz w:val="24"/>
          <w:szCs w:val="24"/>
          <w:lang w:eastAsia="es-ES"/>
        </w:rPr>
        <w:t xml:space="preserve"> es el resultado de un enfoque coordinado del Equipo Europa, con la participación de la Unión Europea, Suecia, Francia y la Red de Logística Humanitaria.</w:t>
      </w:r>
    </w:p>
    <w:p w:rsidR="00A36537" w:rsidRPr="00A36537" w:rsidRDefault="00A36537" w:rsidP="00A36537">
      <w:pPr>
        <w:numPr>
          <w:ilvl w:val="0"/>
          <w:numId w:val="2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18 de junio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Apoyo a la República Centroafricana y a la respuesta regional al coronavirus en el Cuerno de África para limitar los riesgos socioeconómicos de la pandemia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En el contexto de la respuesta de la Unión Europea a la crisis de la COVID-19 en África, la Comisión Europea decide conceder </w:t>
      </w:r>
      <w:hyperlink r:id="rId126" w:history="1">
        <w:r w:rsidRPr="00A36537">
          <w:rPr>
            <w:rFonts w:ascii="EHUSans" w:eastAsia="Times New Roman" w:hAnsi="EHUSans"/>
            <w:color w:val="0000FF"/>
            <w:sz w:val="24"/>
            <w:szCs w:val="24"/>
            <w:u w:val="single"/>
            <w:lang w:eastAsia="es-ES"/>
          </w:rPr>
          <w:t>54 millones de euros a la República Centroafricana</w:t>
        </w:r>
      </w:hyperlink>
      <w:r w:rsidRPr="00A36537">
        <w:rPr>
          <w:rFonts w:ascii="EHUSans" w:eastAsia="Times New Roman" w:hAnsi="EHUSans"/>
          <w:sz w:val="24"/>
          <w:szCs w:val="24"/>
          <w:lang w:eastAsia="es-ES"/>
        </w:rPr>
        <w:t xml:space="preserve"> para ayudar al Gobierno a reforzar el gasto público afectado negativamente por la lucha contra el virus. El 17 de junio, la Comisión también </w:t>
      </w:r>
      <w:hyperlink r:id="rId127" w:history="1">
        <w:r w:rsidRPr="00A36537">
          <w:rPr>
            <w:rFonts w:ascii="EHUSans" w:eastAsia="Times New Roman" w:hAnsi="EHUSans"/>
            <w:color w:val="0000FF"/>
            <w:sz w:val="24"/>
            <w:szCs w:val="24"/>
            <w:u w:val="single"/>
            <w:lang w:eastAsia="es-ES"/>
          </w:rPr>
          <w:t>anuncia un paquete de 60 millones de euros</w:t>
        </w:r>
      </w:hyperlink>
      <w:r w:rsidRPr="00A36537">
        <w:rPr>
          <w:rFonts w:ascii="EHUSans" w:eastAsia="Times New Roman" w:hAnsi="EHUSans"/>
          <w:sz w:val="24"/>
          <w:szCs w:val="24"/>
          <w:lang w:eastAsia="es-ES"/>
        </w:rPr>
        <w:t xml:space="preserve"> para abordar el impacto socioeconómico de la pandemia, en apoyo del mandato de la Autoridad Intergubernamental </w:t>
      </w:r>
      <w:r w:rsidRPr="00A36537">
        <w:rPr>
          <w:rFonts w:ascii="EHUSans" w:eastAsia="Times New Roman" w:hAnsi="EHUSans"/>
          <w:sz w:val="24"/>
          <w:szCs w:val="24"/>
          <w:lang w:eastAsia="es-ES"/>
        </w:rPr>
        <w:lastRenderedPageBreak/>
        <w:t>para el Desarrollo de coordinar las respuestas a la pandemia de COVID-19 en el Cuerno de África.</w:t>
      </w:r>
    </w:p>
    <w:p w:rsidR="00A36537" w:rsidRPr="00A36537" w:rsidRDefault="00A36537" w:rsidP="00A36537">
      <w:pPr>
        <w:numPr>
          <w:ilvl w:val="0"/>
          <w:numId w:val="2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18 de junio </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Financiación de la UE para el transporte de productos médicos, equipos de personal sanitario y pacientes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Los países de la UE ya pueden </w:t>
      </w:r>
      <w:hyperlink r:id="rId128" w:history="1">
        <w:r w:rsidRPr="00A36537">
          <w:rPr>
            <w:rFonts w:ascii="EHUSans" w:eastAsia="Times New Roman" w:hAnsi="EHUSans"/>
            <w:color w:val="0000FF"/>
            <w:sz w:val="24"/>
            <w:szCs w:val="24"/>
            <w:u w:val="single"/>
            <w:lang w:eastAsia="es-ES"/>
          </w:rPr>
          <w:t>solicitar financiación adicional</w:t>
        </w:r>
      </w:hyperlink>
      <w:r w:rsidRPr="00A36537">
        <w:rPr>
          <w:rFonts w:ascii="EHUSans" w:eastAsia="Times New Roman" w:hAnsi="EHUSans"/>
          <w:sz w:val="24"/>
          <w:szCs w:val="24"/>
          <w:lang w:eastAsia="es-ES"/>
        </w:rPr>
        <w:t xml:space="preserve"> con cargo al Instrumento para la Prestación de Asistencia Urgente para el transporte de mercancías esenciales, de equipos de personal sanitario y de pacientes afectados por el coronavirus. Estos fondos se añaden a las ayudas ya disponibles con cargo al Mecanismo de Protección Civil de la UE y a las entregas de equipos de protección efectuadas anteriormente a través de </w:t>
      </w:r>
      <w:proofErr w:type="spellStart"/>
      <w:r w:rsidRPr="00A36537">
        <w:rPr>
          <w:rFonts w:ascii="EHUSans" w:eastAsia="Times New Roman" w:hAnsi="EHUSans"/>
          <w:sz w:val="24"/>
          <w:szCs w:val="24"/>
          <w:lang w:eastAsia="es-ES"/>
        </w:rPr>
        <w:t>rescEU</w:t>
      </w:r>
      <w:proofErr w:type="spellEnd"/>
      <w:r w:rsidRPr="00A36537">
        <w:rPr>
          <w:rFonts w:ascii="EHUSans" w:eastAsia="Times New Roman" w:hAnsi="EHUSans"/>
          <w:sz w:val="24"/>
          <w:szCs w:val="24"/>
          <w:lang w:eastAsia="es-ES"/>
        </w:rPr>
        <w:t>. El 18 de junio, mediante una operación piloto se suministran con éxito a Bulgaria 7 toneladas de equipos de protección personal. El envío contiene más de 500.000 mascarillas de protección adquiridas por Bulgaria, cuyos costes de transporte han sido sufragados por la UE.</w:t>
      </w:r>
    </w:p>
    <w:p w:rsidR="00A36537" w:rsidRPr="00A36537" w:rsidRDefault="00A36537" w:rsidP="00A36537">
      <w:pPr>
        <w:numPr>
          <w:ilvl w:val="0"/>
          <w:numId w:val="2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16 de junio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presenta la estrategia de la UE en materia de vacunas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w:t>
      </w:r>
      <w:hyperlink r:id="rId129" w:history="1">
        <w:r w:rsidRPr="00A36537">
          <w:rPr>
            <w:rFonts w:ascii="EHUSans" w:eastAsia="Times New Roman" w:hAnsi="EHUSans"/>
            <w:color w:val="0000FF"/>
            <w:sz w:val="24"/>
            <w:szCs w:val="24"/>
            <w:u w:val="single"/>
            <w:lang w:eastAsia="es-ES"/>
          </w:rPr>
          <w:t>presenta una estrategia europea</w:t>
        </w:r>
      </w:hyperlink>
      <w:r w:rsidRPr="00A36537">
        <w:rPr>
          <w:rFonts w:ascii="EHUSans" w:eastAsia="Times New Roman" w:hAnsi="EHUSans"/>
          <w:sz w:val="24"/>
          <w:szCs w:val="24"/>
          <w:lang w:eastAsia="es-ES"/>
        </w:rPr>
        <w:t xml:space="preserve"> para acelerar el desarrollo, la fabricación y el despliegue de vacunas contra la COVID-19. Una vacuna eficaz y segura contra el virus es nuestra mejor apuesta para alcanzar una solución permanente a la pandemia. Mediante esta estrategia, la Comisión apoyará los esfuerzos por acelerar el desarrollo y la disponibilidad de vacunas seguras y eficaces en un plazo de entre 12 y 18 meses, si no antes.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i/>
          <w:iCs/>
          <w:sz w:val="24"/>
          <w:szCs w:val="24"/>
          <w:lang w:eastAsia="es-ES"/>
        </w:rPr>
        <w:t xml:space="preserve">Ver el </w:t>
      </w:r>
      <w:hyperlink r:id="rId130" w:history="1">
        <w:r w:rsidRPr="00A36537">
          <w:rPr>
            <w:rFonts w:ascii="EHUSans" w:eastAsia="Times New Roman" w:hAnsi="EHUSans"/>
            <w:color w:val="0000FF"/>
            <w:sz w:val="24"/>
            <w:szCs w:val="24"/>
            <w:u w:val="single"/>
            <w:lang w:eastAsia="es-ES"/>
          </w:rPr>
          <w:t xml:space="preserve">mensaje de vídeo de la presidenta Von der </w:t>
        </w:r>
        <w:proofErr w:type="spellStart"/>
        <w:r w:rsidRPr="00A36537">
          <w:rPr>
            <w:rFonts w:ascii="EHUSans" w:eastAsia="Times New Roman" w:hAnsi="EHUSans"/>
            <w:color w:val="0000FF"/>
            <w:sz w:val="24"/>
            <w:szCs w:val="24"/>
            <w:u w:val="single"/>
            <w:lang w:eastAsia="es-ES"/>
          </w:rPr>
          <w:t>Leyen</w:t>
        </w:r>
        <w:proofErr w:type="spellEnd"/>
      </w:hyperlink>
      <w:r w:rsidRPr="00A36537">
        <w:rPr>
          <w:rFonts w:ascii="EHUSans" w:eastAsia="Times New Roman" w:hAnsi="EHUSans"/>
          <w:i/>
          <w:iCs/>
          <w:sz w:val="24"/>
          <w:szCs w:val="24"/>
          <w:lang w:eastAsia="es-ES"/>
        </w:rPr>
        <w:t xml:space="preserve"> sobre la estrategia de la UE en materia de vacunas </w:t>
      </w:r>
    </w:p>
    <w:p w:rsidR="00A36537" w:rsidRPr="00A36537" w:rsidRDefault="00A36537" w:rsidP="00A36537">
      <w:pPr>
        <w:numPr>
          <w:ilvl w:val="0"/>
          <w:numId w:val="2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15 de junio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«Re-open EU»: nueva plataforma web para facilitar la reanudación segura de la libre circulación y el turismo en la UE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La Comisión Europea pone en marcha la plataforma web «</w:t>
      </w:r>
      <w:hyperlink r:id="rId131" w:history="1">
        <w:r w:rsidRPr="00A36537">
          <w:rPr>
            <w:rFonts w:ascii="EHUSans" w:eastAsia="Times New Roman" w:hAnsi="EHUSans"/>
            <w:color w:val="0000FF"/>
            <w:sz w:val="24"/>
            <w:szCs w:val="24"/>
            <w:u w:val="single"/>
            <w:lang w:eastAsia="es-ES"/>
          </w:rPr>
          <w:t>Re-open EU</w:t>
        </w:r>
      </w:hyperlink>
      <w:r w:rsidRPr="00A36537">
        <w:rPr>
          <w:rFonts w:ascii="EHUSans" w:eastAsia="Times New Roman" w:hAnsi="EHUSans"/>
          <w:sz w:val="24"/>
          <w:szCs w:val="24"/>
          <w:lang w:eastAsia="es-ES"/>
        </w:rPr>
        <w:t xml:space="preserve">», que ofrece información esencial para el </w:t>
      </w:r>
      <w:hyperlink r:id="rId132" w:history="1">
        <w:r w:rsidRPr="00A36537">
          <w:rPr>
            <w:rFonts w:ascii="EHUSans" w:eastAsia="Times New Roman" w:hAnsi="EHUSans"/>
            <w:color w:val="0000FF"/>
            <w:sz w:val="24"/>
            <w:szCs w:val="24"/>
            <w:u w:val="single"/>
            <w:lang w:eastAsia="es-ES"/>
          </w:rPr>
          <w:t>relanzamiento seguro de la libre circulación y el turismo</w:t>
        </w:r>
      </w:hyperlink>
      <w:r w:rsidRPr="00A36537">
        <w:rPr>
          <w:rFonts w:ascii="EHUSans" w:eastAsia="Times New Roman" w:hAnsi="EHUSans"/>
          <w:sz w:val="24"/>
          <w:szCs w:val="24"/>
          <w:lang w:eastAsia="es-ES"/>
        </w:rPr>
        <w:t xml:space="preserve"> en toda Europa. Con el fin de ayudar a los ciudadanos a planificar con seguridad sus viajes y vacaciones este verano y más adelante, la plataforma proporcionará información en tiempo real sobre fronteras, medios de transporte disponibles, restricciones de viaje, salud pública y medidas de seguridad, así como otra información práctica para los viajeros.</w:t>
      </w:r>
    </w:p>
    <w:p w:rsidR="00A36537" w:rsidRPr="00A36537" w:rsidRDefault="00A36537" w:rsidP="00A36537">
      <w:pPr>
        <w:numPr>
          <w:ilvl w:val="0"/>
          <w:numId w:val="29"/>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lastRenderedPageBreak/>
        <w:t>11 de junio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El Banco Europeo de Inversiones proporcionará a </w:t>
      </w:r>
      <w:proofErr w:type="spellStart"/>
      <w:r w:rsidRPr="00A36537">
        <w:rPr>
          <w:rFonts w:ascii="EHUSans" w:eastAsia="Times New Roman" w:hAnsi="EHUSans"/>
          <w:b/>
          <w:bCs/>
          <w:sz w:val="24"/>
          <w:szCs w:val="24"/>
          <w:lang w:eastAsia="es-ES"/>
        </w:rPr>
        <w:t>BioNTech</w:t>
      </w:r>
      <w:proofErr w:type="spellEnd"/>
      <w:r w:rsidRPr="00A36537">
        <w:rPr>
          <w:rFonts w:ascii="EHUSans" w:eastAsia="Times New Roman" w:hAnsi="EHUSans"/>
          <w:b/>
          <w:bCs/>
          <w:sz w:val="24"/>
          <w:szCs w:val="24"/>
          <w:lang w:eastAsia="es-ES"/>
        </w:rPr>
        <w:t xml:space="preserve"> 100 millones de euros de financiación para el desarrollo de vacunas contra la COVID-19 </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El Banco Europeo de Inversiones (BEI) y la empresa de inmunoterapia </w:t>
      </w:r>
      <w:hyperlink r:id="rId133" w:history="1">
        <w:proofErr w:type="spellStart"/>
        <w:r w:rsidRPr="00A36537">
          <w:rPr>
            <w:rFonts w:ascii="EHUSans" w:eastAsia="Times New Roman" w:hAnsi="EHUSans"/>
            <w:color w:val="0000FF"/>
            <w:sz w:val="24"/>
            <w:szCs w:val="24"/>
            <w:u w:val="single"/>
            <w:lang w:eastAsia="es-ES"/>
          </w:rPr>
          <w:t>BioNTech</w:t>
        </w:r>
        <w:proofErr w:type="spellEnd"/>
        <w:r w:rsidRPr="00A36537">
          <w:rPr>
            <w:rFonts w:ascii="EHUSans" w:eastAsia="Times New Roman" w:hAnsi="EHUSans"/>
            <w:color w:val="0000FF"/>
            <w:sz w:val="24"/>
            <w:szCs w:val="24"/>
            <w:u w:val="single"/>
            <w:lang w:eastAsia="es-ES"/>
          </w:rPr>
          <w:t xml:space="preserve"> SE</w:t>
        </w:r>
      </w:hyperlink>
      <w:r w:rsidRPr="00A36537">
        <w:rPr>
          <w:rFonts w:ascii="EHUSans" w:eastAsia="Times New Roman" w:hAnsi="EHUSans"/>
          <w:sz w:val="24"/>
          <w:szCs w:val="24"/>
          <w:lang w:eastAsia="es-ES"/>
        </w:rPr>
        <w:t xml:space="preserve"> firman un acuerdo de financiación por un importe de 100 millones de euros para </w:t>
      </w:r>
      <w:hyperlink r:id="rId134" w:history="1">
        <w:r w:rsidRPr="00A36537">
          <w:rPr>
            <w:rFonts w:ascii="EHUSans" w:eastAsia="Times New Roman" w:hAnsi="EHUSans"/>
            <w:color w:val="0000FF"/>
            <w:sz w:val="24"/>
            <w:szCs w:val="24"/>
            <w:u w:val="single"/>
            <w:lang w:eastAsia="es-ES"/>
          </w:rPr>
          <w:t>apoyar el desarrollo del BNT162</w:t>
        </w:r>
      </w:hyperlink>
      <w:r w:rsidRPr="00A36537">
        <w:rPr>
          <w:rFonts w:ascii="EHUSans" w:eastAsia="Times New Roman" w:hAnsi="EHUSans"/>
          <w:sz w:val="24"/>
          <w:szCs w:val="24"/>
          <w:lang w:eastAsia="es-ES"/>
        </w:rPr>
        <w:t xml:space="preserve">, el programa de vacunas contra la COVID-19 de esta empresa. </w:t>
      </w:r>
      <w:proofErr w:type="spellStart"/>
      <w:r w:rsidRPr="00A36537">
        <w:rPr>
          <w:rFonts w:ascii="EHUSans" w:eastAsia="Times New Roman" w:hAnsi="EHUSans"/>
          <w:sz w:val="24"/>
          <w:szCs w:val="24"/>
          <w:lang w:eastAsia="es-ES"/>
        </w:rPr>
        <w:t>BioNTech</w:t>
      </w:r>
      <w:proofErr w:type="spellEnd"/>
      <w:r w:rsidRPr="00A36537">
        <w:rPr>
          <w:rFonts w:ascii="EHUSans" w:eastAsia="Times New Roman" w:hAnsi="EHUSans"/>
          <w:sz w:val="24"/>
          <w:szCs w:val="24"/>
          <w:lang w:eastAsia="es-ES"/>
        </w:rPr>
        <w:t xml:space="preserve"> es la primera empresa europea en iniciar la fase de ensayos clínicos con la puesta en marcha de un ensayo clínico en Alemania en abril y otro en Estados Unidos a principios de mayo. La financiación del BEI está respaldada por el instrumento </w:t>
      </w:r>
      <w:proofErr w:type="spellStart"/>
      <w:r w:rsidRPr="00A36537">
        <w:rPr>
          <w:rFonts w:ascii="EHUSans" w:eastAsia="Times New Roman" w:hAnsi="EHUSans"/>
          <w:sz w:val="24"/>
          <w:szCs w:val="24"/>
          <w:lang w:eastAsia="es-ES"/>
        </w:rPr>
        <w:t>InnovFin</w:t>
      </w:r>
      <w:proofErr w:type="spellEnd"/>
      <w:r w:rsidRPr="00A36537">
        <w:rPr>
          <w:rFonts w:ascii="EHUSans" w:eastAsia="Times New Roman" w:hAnsi="EHUSans"/>
          <w:sz w:val="24"/>
          <w:szCs w:val="24"/>
          <w:lang w:eastAsia="es-ES"/>
        </w:rPr>
        <w:t xml:space="preserve"> de Horizonte 2020 y por el Fondo Europeo para Inversiones Estratégicas.</w:t>
      </w:r>
    </w:p>
    <w:p w:rsidR="00A36537" w:rsidRPr="00A36537" w:rsidRDefault="00A36537" w:rsidP="00A36537">
      <w:p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Mayo</w:t>
      </w:r>
    </w:p>
    <w:p w:rsidR="00A36537" w:rsidRPr="00A36537" w:rsidRDefault="00A36537" w:rsidP="00A36537">
      <w:pPr>
        <w:numPr>
          <w:ilvl w:val="0"/>
          <w:numId w:val="30"/>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28 de mayo </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Respuesta mundial a la crisis del coronavirus: inicio de una nueva campaña con el apoyo de Global </w:t>
      </w:r>
      <w:proofErr w:type="spellStart"/>
      <w:r w:rsidRPr="00A36537">
        <w:rPr>
          <w:rFonts w:ascii="EHUSans" w:eastAsia="Times New Roman" w:hAnsi="EHUSans"/>
          <w:b/>
          <w:bCs/>
          <w:sz w:val="24"/>
          <w:szCs w:val="24"/>
          <w:lang w:eastAsia="es-ES"/>
        </w:rPr>
        <w:t>Citizen</w:t>
      </w:r>
      <w:proofErr w:type="spellEnd"/>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El maratón de donantes </w:t>
      </w:r>
      <w:hyperlink r:id="rId135" w:history="1">
        <w:r w:rsidRPr="00A36537">
          <w:rPr>
            <w:rFonts w:ascii="EHUSans" w:eastAsia="Times New Roman" w:hAnsi="EHUSans"/>
            <w:color w:val="0000FF"/>
            <w:sz w:val="24"/>
            <w:szCs w:val="24"/>
            <w:u w:val="single"/>
            <w:lang w:eastAsia="es-ES"/>
          </w:rPr>
          <w:t>iniciado el 4 de mayo</w:t>
        </w:r>
      </w:hyperlink>
      <w:r w:rsidRPr="00A36537">
        <w:rPr>
          <w:rFonts w:ascii="EHUSans" w:eastAsia="Times New Roman" w:hAnsi="EHUSans"/>
          <w:sz w:val="24"/>
          <w:szCs w:val="24"/>
          <w:lang w:eastAsia="es-ES"/>
        </w:rPr>
        <w:t xml:space="preserve"> da lugar ahora al lanzamiento de una nueva campaña en colaboración con la organización internacional de defensa de los ciudadanos </w:t>
      </w:r>
      <w:hyperlink r:id="rId136" w:history="1">
        <w:r w:rsidRPr="00A36537">
          <w:rPr>
            <w:rFonts w:ascii="EHUSans" w:eastAsia="Times New Roman" w:hAnsi="EHUSans"/>
            <w:color w:val="0000FF"/>
            <w:sz w:val="24"/>
            <w:szCs w:val="24"/>
            <w:u w:val="single"/>
            <w:lang w:eastAsia="es-ES"/>
          </w:rPr>
          <w:t xml:space="preserve">Global </w:t>
        </w:r>
        <w:proofErr w:type="spellStart"/>
        <w:r w:rsidRPr="00A36537">
          <w:rPr>
            <w:rFonts w:ascii="EHUSans" w:eastAsia="Times New Roman" w:hAnsi="EHUSans"/>
            <w:color w:val="0000FF"/>
            <w:sz w:val="24"/>
            <w:szCs w:val="24"/>
            <w:u w:val="single"/>
            <w:lang w:eastAsia="es-ES"/>
          </w:rPr>
          <w:t>Citizen</w:t>
        </w:r>
        <w:proofErr w:type="spellEnd"/>
      </w:hyperlink>
      <w:r w:rsidRPr="00A36537">
        <w:rPr>
          <w:rFonts w:ascii="EHUSans" w:eastAsia="Times New Roman" w:hAnsi="EHUSans"/>
          <w:sz w:val="24"/>
          <w:szCs w:val="24"/>
          <w:lang w:eastAsia="es-ES"/>
        </w:rPr>
        <w:t xml:space="preserve">. La campaña se denomina «Objetivo global: unidos por nuestro futuro», que culminará en una cumbre global de donantes el 27 de junio. En colaboración con Global </w:t>
      </w:r>
      <w:proofErr w:type="spellStart"/>
      <w:r w:rsidRPr="00A36537">
        <w:rPr>
          <w:rFonts w:ascii="EHUSans" w:eastAsia="Times New Roman" w:hAnsi="EHUSans"/>
          <w:sz w:val="24"/>
          <w:szCs w:val="24"/>
          <w:lang w:eastAsia="es-ES"/>
        </w:rPr>
        <w:t>Citizen</w:t>
      </w:r>
      <w:proofErr w:type="spellEnd"/>
      <w:r w:rsidRPr="00A36537">
        <w:rPr>
          <w:rFonts w:ascii="EHUSans" w:eastAsia="Times New Roman" w:hAnsi="EHUSans"/>
          <w:sz w:val="24"/>
          <w:szCs w:val="24"/>
          <w:lang w:eastAsia="es-ES"/>
        </w:rPr>
        <w:t>, la Comisión acelerará la movilización de fondos para ayudar al mundo a superar esta pandemia y evitar otra.</w:t>
      </w:r>
    </w:p>
    <w:p w:rsidR="00A36537" w:rsidRPr="00A36537" w:rsidRDefault="00A36537" w:rsidP="00A36537">
      <w:pPr>
        <w:numPr>
          <w:ilvl w:val="0"/>
          <w:numId w:val="30"/>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 xml:space="preserve">27 de mayo </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presenta un plan de recuperación para Europa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Para garantizar que la recuperación es sostenible, uniforme, inclusiva y justa para todos los Estados miembros, la Comisión propone crear </w:t>
      </w:r>
      <w:hyperlink r:id="rId137" w:history="1">
        <w:r w:rsidRPr="00A36537">
          <w:rPr>
            <w:rFonts w:ascii="EHUSans" w:eastAsia="Times New Roman" w:hAnsi="EHUSans"/>
            <w:color w:val="0000FF"/>
            <w:sz w:val="24"/>
            <w:szCs w:val="24"/>
            <w:u w:val="single"/>
            <w:lang w:eastAsia="es-ES"/>
          </w:rPr>
          <w:t xml:space="preserve">un nuevo instrumento de recuperación, </w:t>
        </w:r>
        <w:proofErr w:type="spellStart"/>
        <w:r w:rsidRPr="00A36537">
          <w:rPr>
            <w:rFonts w:ascii="EHUSans" w:eastAsia="Times New Roman" w:hAnsi="EHUSans"/>
            <w:color w:val="0000FF"/>
            <w:sz w:val="24"/>
            <w:szCs w:val="24"/>
            <w:u w:val="single"/>
            <w:lang w:eastAsia="es-ES"/>
          </w:rPr>
          <w:t>Next</w:t>
        </w:r>
        <w:proofErr w:type="spellEnd"/>
        <w:r w:rsidRPr="00A36537">
          <w:rPr>
            <w:rFonts w:ascii="EHUSans" w:eastAsia="Times New Roman" w:hAnsi="EHUSans"/>
            <w:color w:val="0000FF"/>
            <w:sz w:val="24"/>
            <w:szCs w:val="24"/>
            <w:u w:val="single"/>
            <w:lang w:eastAsia="es-ES"/>
          </w:rPr>
          <w:t xml:space="preserve"> </w:t>
        </w:r>
        <w:proofErr w:type="spellStart"/>
        <w:r w:rsidRPr="00A36537">
          <w:rPr>
            <w:rFonts w:ascii="EHUSans" w:eastAsia="Times New Roman" w:hAnsi="EHUSans"/>
            <w:color w:val="0000FF"/>
            <w:sz w:val="24"/>
            <w:szCs w:val="24"/>
            <w:u w:val="single"/>
            <w:lang w:eastAsia="es-ES"/>
          </w:rPr>
          <w:t>Generation</w:t>
        </w:r>
        <w:proofErr w:type="spellEnd"/>
        <w:r w:rsidRPr="00A36537">
          <w:rPr>
            <w:rFonts w:ascii="EHUSans" w:eastAsia="Times New Roman" w:hAnsi="EHUSans"/>
            <w:color w:val="0000FF"/>
            <w:sz w:val="24"/>
            <w:szCs w:val="24"/>
            <w:u w:val="single"/>
            <w:lang w:eastAsia="es-ES"/>
          </w:rPr>
          <w:t xml:space="preserve"> EU</w:t>
        </w:r>
      </w:hyperlink>
      <w:r w:rsidRPr="00A36537">
        <w:rPr>
          <w:rFonts w:ascii="EHUSans" w:eastAsia="Times New Roman" w:hAnsi="EHUSans"/>
          <w:sz w:val="24"/>
          <w:szCs w:val="24"/>
          <w:lang w:eastAsia="es-ES"/>
        </w:rPr>
        <w:t>, integrado en un presupuesto a largo plazo de la UE potente, moderno y renovado. Además, la Comisión ha revelado su programa de trabajo de 2020 ajustado, en el que se dará prioridad a las medidas necesarias para relanzar la recuperación y la resiliencia de Europa.</w:t>
      </w:r>
    </w:p>
    <w:p w:rsidR="00A36537" w:rsidRPr="00A36537" w:rsidRDefault="00B33016" w:rsidP="00A36537">
      <w:pPr>
        <w:numPr>
          <w:ilvl w:val="1"/>
          <w:numId w:val="30"/>
        </w:numPr>
        <w:spacing w:before="100" w:beforeAutospacing="1" w:after="100" w:afterAutospacing="1"/>
        <w:rPr>
          <w:rFonts w:ascii="EHUSans" w:eastAsia="Times New Roman" w:hAnsi="EHUSans"/>
          <w:sz w:val="24"/>
          <w:szCs w:val="24"/>
          <w:lang w:eastAsia="es-ES"/>
        </w:rPr>
      </w:pPr>
      <w:hyperlink r:id="rId138" w:history="1">
        <w:r w:rsidR="00A36537" w:rsidRPr="00A36537">
          <w:rPr>
            <w:rFonts w:ascii="EHUSans" w:eastAsia="Times New Roman" w:hAnsi="EHUSans"/>
            <w:color w:val="0000FF"/>
            <w:sz w:val="24"/>
            <w:szCs w:val="24"/>
            <w:u w:val="single"/>
            <w:lang w:eastAsia="es-ES"/>
          </w:rPr>
          <w:t xml:space="preserve">Vea la presentación de la presidenta Von der </w:t>
        </w:r>
        <w:proofErr w:type="spellStart"/>
        <w:r w:rsidR="00A36537" w:rsidRPr="00A36537">
          <w:rPr>
            <w:rFonts w:ascii="EHUSans" w:eastAsia="Times New Roman" w:hAnsi="EHUSans"/>
            <w:color w:val="0000FF"/>
            <w:sz w:val="24"/>
            <w:szCs w:val="24"/>
            <w:u w:val="single"/>
            <w:lang w:eastAsia="es-ES"/>
          </w:rPr>
          <w:t>Leyen</w:t>
        </w:r>
        <w:proofErr w:type="spellEnd"/>
      </w:hyperlink>
      <w:r w:rsidR="00A36537" w:rsidRPr="00A36537">
        <w:rPr>
          <w:rFonts w:ascii="EHUSans" w:eastAsia="Times New Roman" w:hAnsi="EHUSans"/>
          <w:sz w:val="24"/>
          <w:szCs w:val="24"/>
          <w:lang w:eastAsia="es-ES"/>
        </w:rPr>
        <w:t xml:space="preserve"> </w:t>
      </w:r>
      <w:r w:rsidR="00A36537" w:rsidRPr="00A36537">
        <w:rPr>
          <w:rFonts w:ascii="EHUSans" w:eastAsia="Times New Roman" w:hAnsi="EHUSans"/>
          <w:i/>
          <w:iCs/>
          <w:sz w:val="24"/>
          <w:szCs w:val="24"/>
          <w:lang w:eastAsia="es-ES"/>
        </w:rPr>
        <w:t xml:space="preserve">del paquete de medidas de recuperación de la UE ante el pleno del Parlamento Europeo (27 de mayo) </w:t>
      </w:r>
    </w:p>
    <w:p w:rsidR="00A36537" w:rsidRPr="00A36537" w:rsidRDefault="00A36537" w:rsidP="00A36537">
      <w:pPr>
        <w:numPr>
          <w:ilvl w:val="0"/>
          <w:numId w:val="30"/>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lastRenderedPageBreak/>
        <w:t xml:space="preserve">26 de mayo </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El Consejo adopta normas temporales de ampliación del plazo previsto para las juntas generales de las «sociedades europeas» (SE) y las asambleas generales de las sociedades cooperativas europeas (SCE)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El Consejo adopta la propuesta de la Comisión de una derogación temporal de las normas aplicables a las «</w:t>
      </w:r>
      <w:hyperlink r:id="rId139" w:history="1">
        <w:r w:rsidRPr="00A36537">
          <w:rPr>
            <w:rFonts w:ascii="EHUSans" w:eastAsia="Times New Roman" w:hAnsi="EHUSans"/>
            <w:color w:val="0000FF"/>
            <w:sz w:val="24"/>
            <w:szCs w:val="24"/>
            <w:u w:val="single"/>
            <w:lang w:eastAsia="es-ES"/>
          </w:rPr>
          <w:t>sociedades europeas (SE)</w:t>
        </w:r>
      </w:hyperlink>
      <w:r w:rsidRPr="00A36537">
        <w:rPr>
          <w:rFonts w:ascii="EHUSans" w:eastAsia="Times New Roman" w:hAnsi="EHUSans"/>
          <w:sz w:val="24"/>
          <w:szCs w:val="24"/>
          <w:lang w:eastAsia="es-ES"/>
        </w:rPr>
        <w:t>» y las </w:t>
      </w:r>
      <w:hyperlink r:id="rId140" w:history="1">
        <w:r w:rsidRPr="00A36537">
          <w:rPr>
            <w:rFonts w:ascii="EHUSans" w:eastAsia="Times New Roman" w:hAnsi="EHUSans"/>
            <w:color w:val="0000FF"/>
            <w:sz w:val="24"/>
            <w:szCs w:val="24"/>
            <w:u w:val="single"/>
            <w:lang w:eastAsia="es-ES"/>
          </w:rPr>
          <w:t>sociedades cooperativas europeas (SCE)</w:t>
        </w:r>
      </w:hyperlink>
      <w:r w:rsidRPr="00A36537">
        <w:rPr>
          <w:rFonts w:ascii="EHUSans" w:eastAsia="Times New Roman" w:hAnsi="EHUSans"/>
          <w:sz w:val="24"/>
          <w:szCs w:val="24"/>
          <w:lang w:eastAsia="es-ES"/>
        </w:rPr>
        <w:t>, solo cuatro semanas después de su presentación. El Parlamento Europeo había dado su aprobación el 14 de mayo. Estas </w:t>
      </w:r>
      <w:hyperlink r:id="rId141" w:history="1">
        <w:r w:rsidRPr="00A36537">
          <w:rPr>
            <w:rFonts w:ascii="EHUSans" w:eastAsia="Times New Roman" w:hAnsi="EHUSans"/>
            <w:color w:val="0000FF"/>
            <w:sz w:val="24"/>
            <w:szCs w:val="24"/>
            <w:u w:val="single"/>
            <w:lang w:eastAsia="es-ES"/>
          </w:rPr>
          <w:t>medidas</w:t>
        </w:r>
      </w:hyperlink>
      <w:r w:rsidRPr="00A36537">
        <w:rPr>
          <w:rFonts w:ascii="EHUSans" w:eastAsia="Times New Roman" w:hAnsi="EHUSans"/>
          <w:sz w:val="24"/>
          <w:szCs w:val="24"/>
          <w:lang w:eastAsia="es-ES"/>
        </w:rPr>
        <w:t xml:space="preserve"> permitirán a las sociedades europeas y a las sociedades cooperativas europeas celebrar excepcionalmente sus juntas o asambleas generales en un plazo de doce meses a partir del cierre del ejercicio, en lugar de seis meses como establece la legislación.</w:t>
      </w:r>
    </w:p>
    <w:p w:rsidR="00A36537" w:rsidRPr="00A36537" w:rsidRDefault="00A36537" w:rsidP="00A36537">
      <w:pPr>
        <w:numPr>
          <w:ilvl w:val="0"/>
          <w:numId w:val="30"/>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26 de mayo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El Consejo adopta normas temporales de ampliación del plazo previsto para las juntas generales de las «sociedades europeas» (SE) y las asambleas generales de las sociedades cooperativas europeas (SCE)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El Consejo adoptó la propuesta de la Comisión de una derogación temporal de las normas aplicables a las «</w:t>
      </w:r>
      <w:hyperlink r:id="rId142" w:history="1">
        <w:r w:rsidRPr="00A36537">
          <w:rPr>
            <w:rFonts w:ascii="EHUSans" w:eastAsia="Times New Roman" w:hAnsi="EHUSans"/>
            <w:color w:val="0000FF"/>
            <w:sz w:val="24"/>
            <w:szCs w:val="24"/>
            <w:u w:val="single"/>
            <w:lang w:eastAsia="es-ES"/>
          </w:rPr>
          <w:t>sociedades europeas (SE)</w:t>
        </w:r>
      </w:hyperlink>
      <w:r w:rsidRPr="00A36537">
        <w:rPr>
          <w:rFonts w:ascii="EHUSans" w:eastAsia="Times New Roman" w:hAnsi="EHUSans"/>
          <w:sz w:val="24"/>
          <w:szCs w:val="24"/>
          <w:lang w:eastAsia="es-ES"/>
        </w:rPr>
        <w:t>» y las </w:t>
      </w:r>
      <w:hyperlink r:id="rId143" w:history="1">
        <w:r w:rsidRPr="00A36537">
          <w:rPr>
            <w:rFonts w:ascii="EHUSans" w:eastAsia="Times New Roman" w:hAnsi="EHUSans"/>
            <w:color w:val="0000FF"/>
            <w:sz w:val="24"/>
            <w:szCs w:val="24"/>
            <w:u w:val="single"/>
            <w:lang w:eastAsia="es-ES"/>
          </w:rPr>
          <w:t>sociedades cooperativas europeas (SCE)</w:t>
        </w:r>
      </w:hyperlink>
      <w:r w:rsidRPr="00A36537">
        <w:rPr>
          <w:rFonts w:ascii="EHUSans" w:eastAsia="Times New Roman" w:hAnsi="EHUSans"/>
          <w:sz w:val="24"/>
          <w:szCs w:val="24"/>
          <w:lang w:eastAsia="es-ES"/>
        </w:rPr>
        <w:t>, solo cuatro semanas después de su presentación. El Parlamento Europeo había dado su aprobación el 14 de mayo. Estas </w:t>
      </w:r>
      <w:hyperlink r:id="rId144" w:history="1">
        <w:r w:rsidRPr="00A36537">
          <w:rPr>
            <w:rFonts w:ascii="EHUSans" w:eastAsia="Times New Roman" w:hAnsi="EHUSans"/>
            <w:color w:val="0000FF"/>
            <w:sz w:val="24"/>
            <w:szCs w:val="24"/>
            <w:u w:val="single"/>
            <w:lang w:eastAsia="es-ES"/>
          </w:rPr>
          <w:t>medidas</w:t>
        </w:r>
      </w:hyperlink>
      <w:r w:rsidRPr="00A36537">
        <w:rPr>
          <w:rFonts w:ascii="EHUSans" w:eastAsia="Times New Roman" w:hAnsi="EHUSans"/>
          <w:sz w:val="24"/>
          <w:szCs w:val="24"/>
          <w:lang w:eastAsia="es-ES"/>
        </w:rPr>
        <w:t xml:space="preserve"> permitirán a las sociedades europeas y a las sociedades cooperativas europeas celebrar excepcionalmente sus juntas o asambleas generales en un plazo de doce meses a partir del cierre del ejercicio, en lugar de seis meses como establece la legislación.</w:t>
      </w:r>
    </w:p>
    <w:p w:rsidR="00A36537" w:rsidRPr="00A36537" w:rsidRDefault="00A36537" w:rsidP="00A36537">
      <w:pPr>
        <w:numPr>
          <w:ilvl w:val="0"/>
          <w:numId w:val="30"/>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20 de mayo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UE asigna 50 millones de euros adicionales para ayuda humanitaria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w:t>
      </w:r>
      <w:hyperlink r:id="rId145" w:history="1">
        <w:r w:rsidRPr="00A36537">
          <w:rPr>
            <w:rFonts w:ascii="EHUSans" w:eastAsia="Times New Roman" w:hAnsi="EHUSans"/>
            <w:color w:val="0000FF"/>
            <w:sz w:val="24"/>
            <w:szCs w:val="24"/>
            <w:u w:val="single"/>
            <w:lang w:eastAsia="es-ES"/>
          </w:rPr>
          <w:t>Comisión anuncia</w:t>
        </w:r>
      </w:hyperlink>
      <w:r w:rsidRPr="00A36537">
        <w:rPr>
          <w:rFonts w:ascii="EHUSans" w:eastAsia="Times New Roman" w:hAnsi="EHUSans"/>
          <w:sz w:val="24"/>
          <w:szCs w:val="24"/>
          <w:lang w:eastAsia="es-ES"/>
        </w:rPr>
        <w:t xml:space="preserve"> un montante adicional de 50 millones de euros en ayuda humanitaria para contribuir a dar respuesta al drástico aumento de las necesidades humanitarias causado por la pandemia de coronavirus en todo el mundo. Esta financiación ayudará a poblaciones vulnerables que se enfrentan a crisis humanitarias graves, en concreto en el </w:t>
      </w:r>
      <w:proofErr w:type="spellStart"/>
      <w:r w:rsidRPr="00A36537">
        <w:rPr>
          <w:rFonts w:ascii="EHUSans" w:eastAsia="Times New Roman" w:hAnsi="EHUSans"/>
          <w:sz w:val="24"/>
          <w:szCs w:val="24"/>
          <w:lang w:eastAsia="es-ES"/>
        </w:rPr>
        <w:t>Sahel</w:t>
      </w:r>
      <w:proofErr w:type="spellEnd"/>
      <w:r w:rsidRPr="00A36537">
        <w:rPr>
          <w:rFonts w:ascii="EHUSans" w:eastAsia="Times New Roman" w:hAnsi="EHUSans"/>
          <w:sz w:val="24"/>
          <w:szCs w:val="24"/>
          <w:lang w:eastAsia="es-ES"/>
        </w:rPr>
        <w:t xml:space="preserve"> y la región del lago Chad, la República Centroafricana, la región de los Grandes Lagos de África, África oriental, Siria, Yemen, Palestina y Venezuela, así como a los </w:t>
      </w:r>
      <w:proofErr w:type="spellStart"/>
      <w:r w:rsidRPr="00A36537">
        <w:rPr>
          <w:rFonts w:ascii="EHUSans" w:eastAsia="Times New Roman" w:hAnsi="EHUSans"/>
          <w:sz w:val="24"/>
          <w:szCs w:val="24"/>
          <w:lang w:eastAsia="es-ES"/>
        </w:rPr>
        <w:t>rohinyás</w:t>
      </w:r>
      <w:proofErr w:type="spellEnd"/>
      <w:r w:rsidRPr="00A36537">
        <w:rPr>
          <w:rFonts w:ascii="EHUSans" w:eastAsia="Times New Roman" w:hAnsi="EHUSans"/>
          <w:sz w:val="24"/>
          <w:szCs w:val="24"/>
          <w:lang w:eastAsia="es-ES"/>
        </w:rPr>
        <w:t>.</w:t>
      </w:r>
    </w:p>
    <w:p w:rsidR="00A36537" w:rsidRPr="00A36537" w:rsidRDefault="00A36537" w:rsidP="00A36537">
      <w:pPr>
        <w:numPr>
          <w:ilvl w:val="0"/>
          <w:numId w:val="30"/>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lastRenderedPageBreak/>
        <w:t>20 de mayo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Un proyecto de investigación financiado por la UE aporta un nuevo diagnóstico rápido al mercado</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Uno de los 18 proyectos seleccionados recientemente para recibir 48,2 millones de euros de financiación con cargo a Horizonte 2020 a fin de desarrollar diagnósticos, tratamientos, vacunas y acciones de preparación </w:t>
      </w:r>
      <w:hyperlink r:id="rId146" w:history="1">
        <w:r w:rsidRPr="00A36537">
          <w:rPr>
            <w:rFonts w:ascii="EHUSans" w:eastAsia="Times New Roman" w:hAnsi="EHUSans"/>
            <w:color w:val="0000FF"/>
            <w:sz w:val="24"/>
            <w:szCs w:val="24"/>
            <w:u w:val="single"/>
            <w:lang w:eastAsia="es-ES"/>
          </w:rPr>
          <w:t>ya está dando resultados positivos</w:t>
        </w:r>
      </w:hyperlink>
      <w:r w:rsidRPr="00A36537">
        <w:rPr>
          <w:rFonts w:ascii="EHUSans" w:eastAsia="Times New Roman" w:hAnsi="EHUSans"/>
          <w:sz w:val="24"/>
          <w:szCs w:val="24"/>
          <w:lang w:eastAsia="es-ES"/>
        </w:rPr>
        <w:t xml:space="preserve">. Los investigadores que participan en el </w:t>
      </w:r>
      <w:hyperlink r:id="rId147" w:history="1">
        <w:r w:rsidRPr="00A36537">
          <w:rPr>
            <w:rFonts w:ascii="EHUSans" w:eastAsia="Times New Roman" w:hAnsi="EHUSans"/>
            <w:color w:val="0000FF"/>
            <w:sz w:val="24"/>
            <w:szCs w:val="24"/>
            <w:u w:val="single"/>
            <w:lang w:eastAsia="es-ES"/>
          </w:rPr>
          <w:t>proyecto «HG nCoV19 test»</w:t>
        </w:r>
      </w:hyperlink>
      <w:r w:rsidRPr="00A36537">
        <w:rPr>
          <w:rFonts w:ascii="EHUSans" w:eastAsia="Times New Roman" w:hAnsi="EHUSans"/>
          <w:sz w:val="24"/>
          <w:szCs w:val="24"/>
          <w:lang w:eastAsia="es-ES"/>
        </w:rPr>
        <w:t xml:space="preserve"> han obtenido el visto bueno para introducir en el mercado un nuevo diagnóstico rápido en el punto de atención de COVID-19. El proyecto «HG nCoV19 test», que reúne a organizaciones públicas y privadas de Irlanda, Italia, Reino Unido y China, ha desarrollado un nuevo sistema portátil de diagnóstico para detectar infecciones víricas que ofrece resultados exactos y fiables en 30 minutos.</w:t>
      </w:r>
    </w:p>
    <w:p w:rsidR="00A36537" w:rsidRPr="00A36537" w:rsidRDefault="00A36537" w:rsidP="00A36537">
      <w:pPr>
        <w:numPr>
          <w:ilvl w:val="0"/>
          <w:numId w:val="30"/>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19 de mayo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Impulsar la investigación y la innovación que se necesitan urgentemente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moviliza otros 122 millones de euros del programa Horizonte 2020 para la investigación sobre el coronavirus que tanta urgencia reviste. La </w:t>
      </w:r>
      <w:hyperlink r:id="rId148" w:history="1">
        <w:r w:rsidRPr="00A36537">
          <w:rPr>
            <w:rFonts w:ascii="EHUSans" w:eastAsia="Times New Roman" w:hAnsi="EHUSans"/>
            <w:color w:val="0000FF"/>
            <w:sz w:val="24"/>
            <w:szCs w:val="24"/>
            <w:u w:val="single"/>
            <w:lang w:eastAsia="es-ES"/>
          </w:rPr>
          <w:t>nueva convocatoria de manifestaciones de interés</w:t>
        </w:r>
      </w:hyperlink>
      <w:r w:rsidRPr="00A36537">
        <w:rPr>
          <w:rFonts w:ascii="EHUSans" w:eastAsia="Times New Roman" w:hAnsi="EHUSans"/>
          <w:sz w:val="24"/>
          <w:szCs w:val="24"/>
          <w:lang w:eastAsia="es-ES"/>
        </w:rPr>
        <w:t xml:space="preserve">, abierta hasta el 11 de junio, contribuye al compromiso de 1.400 millones de euros de la Comisión para la iniciativa de respuesta mundial a la crisis del coronavirus, puesta en marcha por la presidenta </w:t>
      </w:r>
      <w:proofErr w:type="spellStart"/>
      <w:r w:rsidRPr="00A36537">
        <w:rPr>
          <w:rFonts w:ascii="EHUSans" w:eastAsia="Times New Roman" w:hAnsi="EHUSans"/>
          <w:sz w:val="24"/>
          <w:szCs w:val="24"/>
          <w:lang w:eastAsia="es-ES"/>
        </w:rPr>
        <w:t>Ursula</w:t>
      </w:r>
      <w:proofErr w:type="spellEnd"/>
      <w:r w:rsidRPr="00A36537">
        <w:rPr>
          <w:rFonts w:ascii="EHUSans" w:eastAsia="Times New Roman" w:hAnsi="EHUSans"/>
          <w:sz w:val="24"/>
          <w:szCs w:val="24"/>
          <w:lang w:eastAsia="es-ES"/>
        </w:rPr>
        <w:t xml:space="preserve"> von der </w:t>
      </w:r>
      <w:proofErr w:type="spellStart"/>
      <w:r w:rsidRPr="00A36537">
        <w:rPr>
          <w:rFonts w:ascii="EHUSans" w:eastAsia="Times New Roman" w:hAnsi="EHUSans"/>
          <w:sz w:val="24"/>
          <w:szCs w:val="24"/>
          <w:lang w:eastAsia="es-ES"/>
        </w:rPr>
        <w:t>Leyen</w:t>
      </w:r>
      <w:proofErr w:type="spellEnd"/>
      <w:r w:rsidRPr="00A36537">
        <w:rPr>
          <w:rFonts w:ascii="EHUSans" w:eastAsia="Times New Roman" w:hAnsi="EHUSans"/>
          <w:sz w:val="24"/>
          <w:szCs w:val="24"/>
          <w:lang w:eastAsia="es-ES"/>
        </w:rPr>
        <w:t xml:space="preserve"> el 4 de mayo de 2020.</w:t>
      </w:r>
    </w:p>
    <w:p w:rsidR="00A36537" w:rsidRPr="00A36537" w:rsidRDefault="00A36537" w:rsidP="00A36537">
      <w:pPr>
        <w:numPr>
          <w:ilvl w:val="0"/>
          <w:numId w:val="30"/>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14 de mayo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UE presta apoyo a la región del Cuerno de África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UE aporta </w:t>
      </w:r>
      <w:hyperlink r:id="rId149" w:history="1">
        <w:r w:rsidRPr="00A36537">
          <w:rPr>
            <w:rFonts w:ascii="EHUSans" w:eastAsia="Times New Roman" w:hAnsi="EHUSans"/>
            <w:color w:val="0000FF"/>
            <w:sz w:val="24"/>
            <w:szCs w:val="24"/>
            <w:u w:val="single"/>
            <w:lang w:eastAsia="es-ES"/>
          </w:rPr>
          <w:t>105,5 millones de euros adicionales</w:t>
        </w:r>
      </w:hyperlink>
      <w:r w:rsidRPr="00A36537">
        <w:rPr>
          <w:rFonts w:ascii="EHUSans" w:eastAsia="Times New Roman" w:hAnsi="EHUSans"/>
          <w:sz w:val="24"/>
          <w:szCs w:val="24"/>
          <w:lang w:eastAsia="es-ES"/>
        </w:rPr>
        <w:t xml:space="preserve"> a los países del Cuerno de África, ante el riesgo de que la pandemia de coronavirus agrave la situación humanitaria en la región, donde muchas personas todavía padecen conflictos armados, desplazamientos de población y repetidas sequías e inundaciones.</w:t>
      </w:r>
    </w:p>
    <w:p w:rsidR="00A36537" w:rsidRPr="00A36537" w:rsidRDefault="00A36537" w:rsidP="00A36537">
      <w:pPr>
        <w:numPr>
          <w:ilvl w:val="0"/>
          <w:numId w:val="30"/>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13 de mayo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Orientaciones para reanudar con seguridad los viajes y relanzar el turismo en Europa en 2020 y años posteriores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presentó un </w:t>
      </w:r>
      <w:hyperlink r:id="rId150" w:history="1">
        <w:r w:rsidRPr="00A36537">
          <w:rPr>
            <w:rFonts w:ascii="EHUSans" w:eastAsia="Times New Roman" w:hAnsi="EHUSans"/>
            <w:color w:val="0000FF"/>
            <w:sz w:val="24"/>
            <w:szCs w:val="24"/>
            <w:u w:val="single"/>
            <w:lang w:eastAsia="es-ES"/>
          </w:rPr>
          <w:t>conjunto de orientaciones y recomendaciones</w:t>
        </w:r>
      </w:hyperlink>
      <w:r w:rsidRPr="00A36537">
        <w:rPr>
          <w:rFonts w:ascii="EHUSans" w:eastAsia="Times New Roman" w:hAnsi="EHUSans"/>
          <w:sz w:val="24"/>
          <w:szCs w:val="24"/>
          <w:lang w:eastAsia="es-ES"/>
        </w:rPr>
        <w:t xml:space="preserve"> para ayudar a los Estados miembros a retirar gradualmente las restricciones de viaje y permitir que las empresas del sector turístico vuelvan a abrir, tras meses de confinamiento. Tan pronto como lo </w:t>
      </w:r>
      <w:r w:rsidRPr="00A36537">
        <w:rPr>
          <w:rFonts w:ascii="EHUSans" w:eastAsia="Times New Roman" w:hAnsi="EHUSans"/>
          <w:sz w:val="24"/>
          <w:szCs w:val="24"/>
          <w:lang w:eastAsia="es-ES"/>
        </w:rPr>
        <w:lastRenderedPageBreak/>
        <w:t xml:space="preserve">permita la situación sanitaria, la ciudadanía debería tener la posibilidad de </w:t>
      </w:r>
      <w:hyperlink r:id="rId151" w:history="1">
        <w:r w:rsidRPr="00A36537">
          <w:rPr>
            <w:rFonts w:ascii="EHUSans" w:eastAsia="Times New Roman" w:hAnsi="EHUSans"/>
            <w:color w:val="0000FF"/>
            <w:sz w:val="24"/>
            <w:szCs w:val="24"/>
            <w:u w:val="single"/>
            <w:lang w:eastAsia="es-ES"/>
          </w:rPr>
          <w:t>reanudar el contacto con sus familiares y amigos</w:t>
        </w:r>
      </w:hyperlink>
      <w:r w:rsidRPr="00A36537">
        <w:rPr>
          <w:rFonts w:ascii="EHUSans" w:eastAsia="Times New Roman" w:hAnsi="EHUSans"/>
          <w:sz w:val="24"/>
          <w:szCs w:val="24"/>
          <w:lang w:eastAsia="es-ES"/>
        </w:rPr>
        <w:t xml:space="preserve">, dentro y fuera de su propio país de la UE, respetando todas las medidas de seguridad y prudencia en vigor. La medida también tiene como objetivo </w:t>
      </w:r>
      <w:hyperlink r:id="rId152" w:history="1">
        <w:r w:rsidRPr="00A36537">
          <w:rPr>
            <w:rFonts w:ascii="EHUSans" w:eastAsia="Times New Roman" w:hAnsi="EHUSans"/>
            <w:color w:val="0000FF"/>
            <w:sz w:val="24"/>
            <w:szCs w:val="24"/>
            <w:u w:val="single"/>
            <w:lang w:eastAsia="es-ES"/>
          </w:rPr>
          <w:t>ayudar al sector turístico de la UE</w:t>
        </w:r>
      </w:hyperlink>
      <w:r w:rsidRPr="00A36537">
        <w:rPr>
          <w:rFonts w:ascii="EHUSans" w:eastAsia="Times New Roman" w:hAnsi="EHUSans"/>
          <w:sz w:val="24"/>
          <w:szCs w:val="24"/>
          <w:lang w:eastAsia="es-ES"/>
        </w:rPr>
        <w:t xml:space="preserve"> dando apoyo a las empresas y garantizando que Europa siga siendo el destino preferido de los viajeros.</w:t>
      </w:r>
    </w:p>
    <w:p w:rsidR="00A36537" w:rsidRPr="00A36537" w:rsidRDefault="00A36537" w:rsidP="00A36537">
      <w:pPr>
        <w:numPr>
          <w:ilvl w:val="0"/>
          <w:numId w:val="30"/>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12 de mayo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117 millones de euros para tratamientos y diagnósticos, a través de la Iniciativa sobre Medicamentos Innovadores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En una convocatoria rápida de propuestas </w:t>
      </w:r>
      <w:hyperlink r:id="rId153" w:history="1">
        <w:r w:rsidRPr="00A36537">
          <w:rPr>
            <w:rFonts w:ascii="EHUSans" w:eastAsia="Times New Roman" w:hAnsi="EHUSans"/>
            <w:color w:val="0000FF"/>
            <w:sz w:val="24"/>
            <w:szCs w:val="24"/>
            <w:u w:val="single"/>
            <w:lang w:eastAsia="es-ES"/>
          </w:rPr>
          <w:t>puesta en marcha en marzo</w:t>
        </w:r>
      </w:hyperlink>
      <w:r w:rsidRPr="00A36537">
        <w:rPr>
          <w:rFonts w:ascii="EHUSans" w:eastAsia="Times New Roman" w:hAnsi="EHUSans"/>
          <w:sz w:val="24"/>
          <w:szCs w:val="24"/>
          <w:lang w:eastAsia="es-ES"/>
        </w:rPr>
        <w:t xml:space="preserve"> por la Iniciativa sobre Medicamentos Innovadores (asociación público-privada), se seleccionaron </w:t>
      </w:r>
      <w:hyperlink r:id="rId154" w:history="1">
        <w:r w:rsidRPr="00A36537">
          <w:rPr>
            <w:rFonts w:ascii="EHUSans" w:eastAsia="Times New Roman" w:hAnsi="EHUSans"/>
            <w:color w:val="0000FF"/>
            <w:sz w:val="24"/>
            <w:szCs w:val="24"/>
            <w:u w:val="single"/>
            <w:lang w:eastAsia="es-ES"/>
          </w:rPr>
          <w:t>ocho proyectos de investigación a gran escala</w:t>
        </w:r>
      </w:hyperlink>
      <w:r w:rsidRPr="00A36537">
        <w:rPr>
          <w:rFonts w:ascii="EHUSans" w:eastAsia="Times New Roman" w:hAnsi="EHUSans"/>
          <w:sz w:val="24"/>
          <w:szCs w:val="24"/>
          <w:lang w:eastAsia="es-ES"/>
        </w:rPr>
        <w:t>, destinados a desarrollar tratamientos y diagnósticos para el coronavirus.</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proofErr w:type="spellStart"/>
      <w:r w:rsidRPr="00A36537">
        <w:rPr>
          <w:rFonts w:ascii="EHUSans" w:eastAsia="Times New Roman" w:hAnsi="EHUSans"/>
          <w:b/>
          <w:bCs/>
          <w:sz w:val="36"/>
          <w:szCs w:val="36"/>
          <w:lang w:eastAsia="es-ES"/>
        </w:rPr>
        <w:t>April</w:t>
      </w:r>
      <w:proofErr w:type="spellEnd"/>
    </w:p>
    <w:p w:rsidR="00A36537" w:rsidRPr="00A36537" w:rsidRDefault="00A36537" w:rsidP="00A36537">
      <w:pPr>
        <w:numPr>
          <w:ilvl w:val="0"/>
          <w:numId w:val="3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30 de abril</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Medidas de ayuda estatal</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En abril, la Comisión aprobó 127 </w:t>
      </w:r>
      <w:hyperlink r:id="rId155" w:history="1">
        <w:r w:rsidRPr="00A36537">
          <w:rPr>
            <w:rFonts w:ascii="EHUSans" w:eastAsia="Times New Roman" w:hAnsi="EHUSans"/>
            <w:color w:val="0000FF"/>
            <w:sz w:val="24"/>
            <w:szCs w:val="24"/>
            <w:u w:val="single"/>
            <w:lang w:eastAsia="es-ES"/>
          </w:rPr>
          <w:t>medidas de ayuda estatal</w:t>
        </w:r>
      </w:hyperlink>
      <w:r w:rsidRPr="00A36537">
        <w:rPr>
          <w:rFonts w:ascii="EHUSans" w:eastAsia="Times New Roman" w:hAnsi="EHUSans"/>
          <w:sz w:val="24"/>
          <w:szCs w:val="24"/>
          <w:lang w:eastAsia="es-ES"/>
        </w:rPr>
        <w:t xml:space="preserve"> para prestar apoyo a las empresas y proteger los medios de subsistencia en Europa durante la pandemia de coronavirus. Seguimos colaborando estrechamente con los países de la UE para garantizar que nuestra economía pueda recuperarse con fuerza tras la crisis.</w:t>
      </w:r>
    </w:p>
    <w:p w:rsidR="00A36537" w:rsidRPr="00A36537" w:rsidRDefault="00A36537" w:rsidP="00A36537">
      <w:pPr>
        <w:numPr>
          <w:ilvl w:val="0"/>
          <w:numId w:val="3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29 de abril</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Balcanes Occidentales: la UE refuerza el apoyo para hacer frente a la crisis de COVID-19</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anunció una ayuda financiera de la UE por valor de más de 3.300 millones de euros, movilizados conjuntamente con el Banco Europeo de Inversiones, en beneficio de los ciudadanos de los Balcanes Occidentales. Con este </w:t>
      </w:r>
      <w:hyperlink r:id="rId156" w:history="1">
        <w:r w:rsidRPr="00A36537">
          <w:rPr>
            <w:rFonts w:ascii="EHUSans" w:eastAsia="Times New Roman" w:hAnsi="EHUSans"/>
            <w:color w:val="0000FF"/>
            <w:sz w:val="24"/>
            <w:szCs w:val="24"/>
            <w:u w:val="single"/>
            <w:lang w:eastAsia="es-ES"/>
          </w:rPr>
          <w:t>paquete de medidas</w:t>
        </w:r>
      </w:hyperlink>
      <w:r w:rsidRPr="00A36537">
        <w:rPr>
          <w:rFonts w:ascii="EHUSans" w:eastAsia="Times New Roman" w:hAnsi="EHUSans"/>
          <w:sz w:val="24"/>
          <w:szCs w:val="24"/>
          <w:lang w:eastAsia="es-ES"/>
        </w:rPr>
        <w:t xml:space="preserve"> se pretende hacer frente a las inmediatas necesidades sanitarias y humanitarias ocasionadas por la pandemia de COVID-19, así como contribuir a la recuperación económica y social.</w:t>
      </w:r>
    </w:p>
    <w:p w:rsidR="00A36537" w:rsidRPr="00A36537" w:rsidRDefault="00A36537" w:rsidP="00A36537">
      <w:pPr>
        <w:numPr>
          <w:ilvl w:val="0"/>
          <w:numId w:val="3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28 de abril</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Paquete bancario para facilitar los préstamos a los hogares y las empresas de la UE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lastRenderedPageBreak/>
        <w:t xml:space="preserve">La Comisión adoptó un paquete bancario para facilitar que los bancos concedan préstamos a los hogares y las empresas en toda la UE. El objetivo de este </w:t>
      </w:r>
      <w:hyperlink r:id="rId157" w:history="1">
        <w:r w:rsidRPr="00A36537">
          <w:rPr>
            <w:rFonts w:ascii="EHUSans" w:eastAsia="Times New Roman" w:hAnsi="EHUSans"/>
            <w:color w:val="0000FF"/>
            <w:sz w:val="24"/>
            <w:szCs w:val="24"/>
            <w:u w:val="single"/>
            <w:lang w:eastAsia="es-ES"/>
          </w:rPr>
          <w:t>paquete de medidas</w:t>
        </w:r>
      </w:hyperlink>
      <w:r w:rsidRPr="00A36537">
        <w:rPr>
          <w:rFonts w:ascii="EHUSans" w:eastAsia="Times New Roman" w:hAnsi="EHUSans"/>
          <w:sz w:val="24"/>
          <w:szCs w:val="24"/>
          <w:lang w:eastAsia="es-ES"/>
        </w:rPr>
        <w:t xml:space="preserve"> es garantizar que los bancos pueden seguir prestando dinero con el fin de apoyar la economía y ayudar a mitigar las importantes repercusiones económicas del coronavirus.</w:t>
      </w:r>
    </w:p>
    <w:p w:rsidR="00A36537" w:rsidRPr="00A36537" w:rsidRDefault="00A36537" w:rsidP="00A36537">
      <w:pPr>
        <w:numPr>
          <w:ilvl w:val="0"/>
          <w:numId w:val="3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24 de abril</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Respuesta mundial a la crisis del coronavirus; la UE lanza una iniciativa de donación</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Unión Europea ha aunado fuerzas con sus socios mundiales para lanzar una iniciativa de donación a partir del 4 de mayo de 2020: la </w:t>
      </w:r>
      <w:hyperlink r:id="rId158" w:history="1">
        <w:r w:rsidRPr="00A36537">
          <w:rPr>
            <w:rFonts w:ascii="EHUSans" w:eastAsia="Times New Roman" w:hAnsi="EHUSans"/>
            <w:color w:val="0000FF"/>
            <w:sz w:val="24"/>
            <w:szCs w:val="24"/>
            <w:u w:val="single"/>
            <w:lang w:eastAsia="es-ES"/>
          </w:rPr>
          <w:t>respuesta mundial a la crisis del coronavirus</w:t>
        </w:r>
      </w:hyperlink>
      <w:r w:rsidRPr="00A36537">
        <w:rPr>
          <w:rFonts w:ascii="EHUSans" w:eastAsia="Times New Roman" w:hAnsi="EHUSans"/>
          <w:sz w:val="24"/>
          <w:szCs w:val="24"/>
          <w:lang w:eastAsia="es-ES"/>
        </w:rPr>
        <w:t>. La OMS y las organizaciones sanitarias mundiales han hecho un llamamiento conjunto para desarrollar un acceso rápido y equitativo a diagnósticos, terapias y vacunas contra el coronavirus que sean seguros, de calidad, eficaces y asequibles.</w:t>
      </w:r>
    </w:p>
    <w:p w:rsidR="00A36537" w:rsidRPr="00A36537" w:rsidRDefault="00B33016" w:rsidP="00A36537">
      <w:pPr>
        <w:numPr>
          <w:ilvl w:val="1"/>
          <w:numId w:val="31"/>
        </w:numPr>
        <w:spacing w:before="100" w:beforeAutospacing="1" w:after="100" w:afterAutospacing="1"/>
        <w:rPr>
          <w:rFonts w:ascii="EHUSans" w:eastAsia="Times New Roman" w:hAnsi="EHUSans"/>
          <w:sz w:val="24"/>
          <w:szCs w:val="24"/>
          <w:lang w:eastAsia="es-ES"/>
        </w:rPr>
      </w:pPr>
      <w:hyperlink r:id="rId159" w:history="1">
        <w:r w:rsidR="00A36537" w:rsidRPr="00A36537">
          <w:rPr>
            <w:rFonts w:ascii="EHUSans" w:eastAsia="Times New Roman" w:hAnsi="EHUSans"/>
            <w:color w:val="0000FF"/>
            <w:sz w:val="24"/>
            <w:szCs w:val="24"/>
            <w:u w:val="single"/>
            <w:lang w:eastAsia="es-ES"/>
          </w:rPr>
          <w:t>Mensaje de vídeo</w:t>
        </w:r>
      </w:hyperlink>
      <w:r w:rsidR="00A36537" w:rsidRPr="00A36537">
        <w:rPr>
          <w:rFonts w:ascii="EHUSans" w:eastAsia="Times New Roman" w:hAnsi="EHUSans"/>
          <w:sz w:val="24"/>
          <w:szCs w:val="24"/>
          <w:lang w:eastAsia="es-ES"/>
        </w:rPr>
        <w:t xml:space="preserve"> de la presidenta Von der </w:t>
      </w:r>
      <w:proofErr w:type="spellStart"/>
      <w:r w:rsidR="00A36537" w:rsidRPr="00A36537">
        <w:rPr>
          <w:rFonts w:ascii="EHUSans" w:eastAsia="Times New Roman" w:hAnsi="EHUSans"/>
          <w:sz w:val="24"/>
          <w:szCs w:val="24"/>
          <w:lang w:eastAsia="es-ES"/>
        </w:rPr>
        <w:t>Leyen</w:t>
      </w:r>
      <w:proofErr w:type="spellEnd"/>
      <w:r w:rsidR="00A36537" w:rsidRPr="00A36537">
        <w:rPr>
          <w:rFonts w:ascii="EHUSans" w:eastAsia="Times New Roman" w:hAnsi="EHUSans"/>
          <w:sz w:val="24"/>
          <w:szCs w:val="24"/>
          <w:lang w:eastAsia="es-ES"/>
        </w:rPr>
        <w:t xml:space="preserve"> sobre la respuesta mundial de la UE</w:t>
      </w:r>
    </w:p>
    <w:p w:rsidR="00A36537" w:rsidRPr="00A36537" w:rsidRDefault="00A36537" w:rsidP="00A36537">
      <w:pPr>
        <w:numPr>
          <w:ilvl w:val="0"/>
          <w:numId w:val="3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23 de abril</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Reglamento sobre productos sanitarios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w:t>
      </w:r>
      <w:hyperlink r:id="rId160" w:history="1">
        <w:r w:rsidRPr="00A36537">
          <w:rPr>
            <w:rFonts w:ascii="EHUSans" w:eastAsia="Times New Roman" w:hAnsi="EHUSans"/>
            <w:color w:val="0000FF"/>
            <w:sz w:val="24"/>
            <w:szCs w:val="24"/>
            <w:u w:val="single"/>
            <w:lang w:eastAsia="es-ES"/>
          </w:rPr>
          <w:t>acogió con satisfacción</w:t>
        </w:r>
      </w:hyperlink>
      <w:r w:rsidRPr="00A36537">
        <w:rPr>
          <w:rFonts w:ascii="EHUSans" w:eastAsia="Times New Roman" w:hAnsi="EHUSans"/>
          <w:sz w:val="24"/>
          <w:szCs w:val="24"/>
          <w:lang w:eastAsia="es-ES"/>
        </w:rPr>
        <w:t xml:space="preserve"> la adopción por el Parlamento Europeo y el Consejo de la propuesta sobre la fecha de aplicación del Reglamento sobre productos sanitarios. La </w:t>
      </w:r>
      <w:hyperlink r:id="rId161" w:history="1">
        <w:r w:rsidRPr="00A36537">
          <w:rPr>
            <w:rFonts w:ascii="EHUSans" w:eastAsia="Times New Roman" w:hAnsi="EHUSans"/>
            <w:color w:val="0000FF"/>
            <w:sz w:val="24"/>
            <w:szCs w:val="24"/>
            <w:u w:val="single"/>
            <w:lang w:eastAsia="es-ES"/>
          </w:rPr>
          <w:t>modificación adoptada</w:t>
        </w:r>
      </w:hyperlink>
      <w:r w:rsidRPr="00A36537">
        <w:rPr>
          <w:rFonts w:ascii="EHUSans" w:eastAsia="Times New Roman" w:hAnsi="EHUSans"/>
          <w:sz w:val="24"/>
          <w:szCs w:val="24"/>
          <w:lang w:eastAsia="es-ES"/>
        </w:rPr>
        <w:t xml:space="preserve"> tiene en cuenta la necesidad de aumentar la disponibilidad en toda la UE de productos sanitarios de importancia vital y, al mismo tiempo, sigue garantizando la salud y la seguridad de los pacientes hasta que comience a aplicarse la nueva legislación.</w:t>
      </w:r>
    </w:p>
    <w:p w:rsidR="00A36537" w:rsidRPr="00A36537" w:rsidRDefault="00A36537" w:rsidP="00A36537">
      <w:pPr>
        <w:numPr>
          <w:ilvl w:val="0"/>
          <w:numId w:val="3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22 de abril</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Paquete de ayuda </w:t>
      </w:r>
      <w:proofErr w:type="spellStart"/>
      <w:r w:rsidRPr="00A36537">
        <w:rPr>
          <w:rFonts w:ascii="EHUSans" w:eastAsia="Times New Roman" w:hAnsi="EHUSans"/>
          <w:b/>
          <w:bCs/>
          <w:sz w:val="24"/>
          <w:szCs w:val="24"/>
          <w:lang w:eastAsia="es-ES"/>
        </w:rPr>
        <w:t>macrofinanciera</w:t>
      </w:r>
      <w:proofErr w:type="spellEnd"/>
      <w:r w:rsidRPr="00A36537">
        <w:rPr>
          <w:rFonts w:ascii="EHUSans" w:eastAsia="Times New Roman" w:hAnsi="EHUSans"/>
          <w:b/>
          <w:bCs/>
          <w:sz w:val="24"/>
          <w:szCs w:val="24"/>
          <w:lang w:eastAsia="es-ES"/>
        </w:rPr>
        <w:t xml:space="preserve"> a diez países vecinos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propuso un </w:t>
      </w:r>
      <w:hyperlink r:id="rId162" w:history="1">
        <w:r w:rsidRPr="00A36537">
          <w:rPr>
            <w:rFonts w:ascii="EHUSans" w:eastAsia="Times New Roman" w:hAnsi="EHUSans"/>
            <w:color w:val="0000FF"/>
            <w:sz w:val="24"/>
            <w:szCs w:val="24"/>
            <w:u w:val="single"/>
            <w:lang w:eastAsia="es-ES"/>
          </w:rPr>
          <w:t xml:space="preserve">paquete de ayuda </w:t>
        </w:r>
        <w:proofErr w:type="spellStart"/>
        <w:r w:rsidRPr="00A36537">
          <w:rPr>
            <w:rFonts w:ascii="EHUSans" w:eastAsia="Times New Roman" w:hAnsi="EHUSans"/>
            <w:color w:val="0000FF"/>
            <w:sz w:val="24"/>
            <w:szCs w:val="24"/>
            <w:u w:val="single"/>
            <w:lang w:eastAsia="es-ES"/>
          </w:rPr>
          <w:t>macrofinanciera</w:t>
        </w:r>
        <w:proofErr w:type="spellEnd"/>
      </w:hyperlink>
      <w:r w:rsidRPr="00A36537">
        <w:rPr>
          <w:rFonts w:ascii="EHUSans" w:eastAsia="Times New Roman" w:hAnsi="EHUSans"/>
          <w:sz w:val="24"/>
          <w:szCs w:val="24"/>
          <w:lang w:eastAsia="es-ES"/>
        </w:rPr>
        <w:t xml:space="preserve"> dotado con 3 millones de euros para diez países socios de la política de ampliación y vecindad a fin de ayudarles a paliar las repercusiones económicas de la pandemia de coronavirus. La propuesta se añade a la estrategia del </w:t>
      </w:r>
      <w:hyperlink r:id="rId163" w:history="1">
        <w:r w:rsidRPr="00A36537">
          <w:rPr>
            <w:rFonts w:ascii="EHUSans" w:eastAsia="Times New Roman" w:hAnsi="EHUSans"/>
            <w:color w:val="0000FF"/>
            <w:sz w:val="24"/>
            <w:szCs w:val="24"/>
            <w:u w:val="single"/>
            <w:lang w:eastAsia="es-ES"/>
          </w:rPr>
          <w:t>"Equipo Europa"</w:t>
        </w:r>
      </w:hyperlink>
      <w:r w:rsidRPr="00A36537">
        <w:rPr>
          <w:rFonts w:ascii="EHUSans" w:eastAsia="Times New Roman" w:hAnsi="EHUSans"/>
          <w:sz w:val="24"/>
          <w:szCs w:val="24"/>
          <w:lang w:eastAsia="es-ES"/>
        </w:rPr>
        <w:t>, respuesta firme y específica de la UE para apoyar los esfuerzos de los países socios por atajar la pandemia del coronavirus.</w:t>
      </w:r>
    </w:p>
    <w:p w:rsidR="00A36537" w:rsidRPr="00A36537" w:rsidRDefault="00A36537" w:rsidP="00A36537">
      <w:pPr>
        <w:numPr>
          <w:ilvl w:val="0"/>
          <w:numId w:val="3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22 de abril</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Medidas excepcionales de apoyo al sector agroalimentario</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lastRenderedPageBreak/>
        <w:t xml:space="preserve">Se propusieron </w:t>
      </w:r>
      <w:hyperlink r:id="rId164" w:history="1">
        <w:r w:rsidRPr="00A36537">
          <w:rPr>
            <w:rFonts w:ascii="EHUSans" w:eastAsia="Times New Roman" w:hAnsi="EHUSans"/>
            <w:color w:val="0000FF"/>
            <w:sz w:val="24"/>
            <w:szCs w:val="24"/>
            <w:u w:val="single"/>
            <w:lang w:eastAsia="es-ES"/>
          </w:rPr>
          <w:t>nuevas medidas excepcionales</w:t>
        </w:r>
      </w:hyperlink>
      <w:r w:rsidRPr="00A36537">
        <w:rPr>
          <w:rFonts w:ascii="EHUSans" w:eastAsia="Times New Roman" w:hAnsi="EHUSans"/>
          <w:sz w:val="24"/>
          <w:szCs w:val="24"/>
          <w:lang w:eastAsia="es-ES"/>
        </w:rPr>
        <w:t xml:space="preserve"> para seguir apoyando a los mercados agrícolas y alimentarios más afectados. Se trata, entre otras, de medidas de ayuda al almacenamiento privado en los sectores lácteo y cárnico, autorización de medidas de </w:t>
      </w:r>
      <w:proofErr w:type="spellStart"/>
      <w:r w:rsidRPr="00A36537">
        <w:rPr>
          <w:rFonts w:ascii="EHUSans" w:eastAsia="Times New Roman" w:hAnsi="EHUSans"/>
          <w:sz w:val="24"/>
          <w:szCs w:val="24"/>
          <w:lang w:eastAsia="es-ES"/>
        </w:rPr>
        <w:t>autoorganización</w:t>
      </w:r>
      <w:proofErr w:type="spellEnd"/>
      <w:r w:rsidRPr="00A36537">
        <w:rPr>
          <w:rFonts w:ascii="EHUSans" w:eastAsia="Times New Roman" w:hAnsi="EHUSans"/>
          <w:sz w:val="24"/>
          <w:szCs w:val="24"/>
          <w:lang w:eastAsia="es-ES"/>
        </w:rPr>
        <w:t xml:space="preserve"> del mercado por parte de los operadores en los sectores más afectados y flexibilidad en los programas de apoyo a los mercados de frutas y hortalizas, vino y otros.</w:t>
      </w:r>
    </w:p>
    <w:p w:rsidR="00A36537" w:rsidRPr="00A36537" w:rsidRDefault="00A36537" w:rsidP="00A36537">
      <w:pPr>
        <w:numPr>
          <w:ilvl w:val="0"/>
          <w:numId w:val="3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21 de abril</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UE moviliza ayuda para Italia, Croacia y los países vecinos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A raíz de las solicitudes de asistencia a través del Mecanismo de Protección Civil de la Unión en la lucha contra la pandemia de coronavirus, la UE coordina y cofinancia la </w:t>
      </w:r>
      <w:hyperlink r:id="rId165" w:history="1">
        <w:r w:rsidRPr="00A36537">
          <w:rPr>
            <w:rFonts w:ascii="EHUSans" w:eastAsia="Times New Roman" w:hAnsi="EHUSans"/>
            <w:color w:val="0000FF"/>
            <w:sz w:val="24"/>
            <w:szCs w:val="24"/>
            <w:u w:val="single"/>
            <w:lang w:eastAsia="es-ES"/>
          </w:rPr>
          <w:t>entrega de ayuda</w:t>
        </w:r>
      </w:hyperlink>
      <w:r w:rsidRPr="00A36537">
        <w:rPr>
          <w:rFonts w:ascii="EHUSans" w:eastAsia="Times New Roman" w:hAnsi="EHUSans"/>
          <w:sz w:val="24"/>
          <w:szCs w:val="24"/>
          <w:lang w:eastAsia="es-ES"/>
        </w:rPr>
        <w:t xml:space="preserve"> en la UE y los países vecinos.</w:t>
      </w:r>
    </w:p>
    <w:p w:rsidR="00A36537" w:rsidRPr="00A36537" w:rsidRDefault="00A36537" w:rsidP="00A36537">
      <w:pPr>
        <w:numPr>
          <w:ilvl w:val="0"/>
          <w:numId w:val="3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20 de abril</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La Comisión lanza una plataforma de intercambio de datos para investigadores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junto con varios socios, pone en marcha la </w:t>
      </w:r>
      <w:hyperlink r:id="rId166" w:history="1">
        <w:r w:rsidRPr="00A36537">
          <w:rPr>
            <w:rFonts w:ascii="EHUSans" w:eastAsia="Times New Roman" w:hAnsi="EHUSans"/>
            <w:color w:val="0000FF"/>
            <w:sz w:val="24"/>
            <w:szCs w:val="24"/>
            <w:u w:val="single"/>
            <w:lang w:eastAsia="es-ES"/>
          </w:rPr>
          <w:t>Plataforma Europea de Datos sobre la COVID-19</w:t>
        </w:r>
      </w:hyperlink>
      <w:r w:rsidRPr="00A36537">
        <w:rPr>
          <w:rFonts w:ascii="EHUSans" w:eastAsia="Times New Roman" w:hAnsi="EHUSans"/>
          <w:sz w:val="24"/>
          <w:szCs w:val="24"/>
          <w:lang w:eastAsia="es-ES"/>
        </w:rPr>
        <w:t xml:space="preserve"> para que los datos de investigación disponibles puedan recopilarse y compartirse de forma rápida. Esta plataforma, que forma parte del Plan de Acción </w:t>
      </w:r>
      <w:proofErr w:type="spellStart"/>
      <w:r w:rsidRPr="00A36537">
        <w:rPr>
          <w:rFonts w:ascii="EHUSans" w:eastAsia="Times New Roman" w:hAnsi="EHUSans"/>
          <w:sz w:val="24"/>
          <w:szCs w:val="24"/>
          <w:lang w:eastAsia="es-ES"/>
        </w:rPr>
        <w:t>ERAvsCorona</w:t>
      </w:r>
      <w:proofErr w:type="spellEnd"/>
      <w:r w:rsidRPr="00A36537">
        <w:rPr>
          <w:rFonts w:ascii="EHUSans" w:eastAsia="Times New Roman" w:hAnsi="EHUSans"/>
          <w:sz w:val="24"/>
          <w:szCs w:val="24"/>
          <w:lang w:eastAsia="es-ES"/>
        </w:rPr>
        <w:t xml:space="preserve">, </w:t>
      </w:r>
      <w:hyperlink r:id="rId167" w:history="1">
        <w:r w:rsidRPr="00A36537">
          <w:rPr>
            <w:rFonts w:ascii="EHUSans" w:eastAsia="Times New Roman" w:hAnsi="EHUSans"/>
            <w:color w:val="0000FF"/>
            <w:sz w:val="24"/>
            <w:szCs w:val="24"/>
            <w:u w:val="single"/>
            <w:lang w:eastAsia="es-ES"/>
          </w:rPr>
          <w:t>marca un nuevo hito</w:t>
        </w:r>
      </w:hyperlink>
      <w:r w:rsidRPr="00A36537">
        <w:rPr>
          <w:rFonts w:ascii="EHUSans" w:eastAsia="Times New Roman" w:hAnsi="EHUSans"/>
          <w:sz w:val="24"/>
          <w:szCs w:val="24"/>
          <w:lang w:eastAsia="es-ES"/>
        </w:rPr>
        <w:t xml:space="preserve"> en los esfuerzos realizados por la UE para apoyar a los investigadores de Europa y de todo el mundo en la lucha contra la pandemia de coronavirus.</w:t>
      </w:r>
    </w:p>
    <w:p w:rsidR="00A36537" w:rsidRPr="00A36537" w:rsidRDefault="00A36537" w:rsidP="00A36537">
      <w:pPr>
        <w:numPr>
          <w:ilvl w:val="0"/>
          <w:numId w:val="31"/>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17 de abril</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Una operación consular única de la UE trae a casa desde el extranjero a más de 500.000 ciudadanos de la Unión </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Con fecha de 17 de abril, la UE ha conseguido devolver a sus países, en un </w:t>
      </w:r>
      <w:hyperlink r:id="rId168" w:history="1">
        <w:r w:rsidRPr="00A36537">
          <w:rPr>
            <w:rFonts w:ascii="EHUSans" w:eastAsia="Times New Roman" w:hAnsi="EHUSans"/>
            <w:color w:val="0000FF"/>
            <w:sz w:val="24"/>
            <w:szCs w:val="24"/>
            <w:u w:val="single"/>
            <w:lang w:eastAsia="es-ES"/>
          </w:rPr>
          <w:t>esfuerzo de repatriación sin precedentes</w:t>
        </w:r>
      </w:hyperlink>
      <w:r w:rsidRPr="00A36537">
        <w:rPr>
          <w:rFonts w:ascii="EHUSans" w:eastAsia="Times New Roman" w:hAnsi="EHUSans"/>
          <w:sz w:val="24"/>
          <w:szCs w:val="24"/>
          <w:lang w:eastAsia="es-ES"/>
        </w:rPr>
        <w:t>, a más de medio millón de ciudadanos de la UE afectados en todo el mundo por las restricciones de viaje a causa del coronavirus. Al inicio de la pandemia, alrededor de 600.000 ciudadanos de la UE declararon estar bloqueados fuera de la Unión Europea, la mayor parte en la región de Asia-Pacífico y las Américas.</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Marzo</w:t>
      </w:r>
    </w:p>
    <w:p w:rsidR="00A36537" w:rsidRPr="00A36537" w:rsidRDefault="00A36537" w:rsidP="00A36537">
      <w:pPr>
        <w:numPr>
          <w:ilvl w:val="0"/>
          <w:numId w:val="3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31 de marzo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Reforzar la resiliencia en los países que acogen a refugiados sirios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lastRenderedPageBreak/>
        <w:t>A raíz de la pandemia de coronavirus, la UE refuerza su apoyo a los </w:t>
      </w:r>
      <w:hyperlink r:id="rId169" w:history="1">
        <w:r w:rsidRPr="00A36537">
          <w:rPr>
            <w:rFonts w:ascii="EHUSans" w:eastAsia="Times New Roman" w:hAnsi="EHUSans"/>
            <w:color w:val="0000FF"/>
            <w:sz w:val="24"/>
            <w:szCs w:val="24"/>
            <w:u w:val="single"/>
            <w:lang w:eastAsia="es-ES"/>
          </w:rPr>
          <w:t>refugiados de Siria y a las personas vulnerables</w:t>
        </w:r>
      </w:hyperlink>
      <w:r w:rsidRPr="00A36537">
        <w:rPr>
          <w:rFonts w:ascii="EHUSans" w:eastAsia="Times New Roman" w:hAnsi="EHUSans"/>
          <w:sz w:val="24"/>
          <w:szCs w:val="24"/>
          <w:lang w:eastAsia="es-ES"/>
        </w:rPr>
        <w:t xml:space="preserve"> en Irak, Jordania y el Líbano mediante un nuevo paquete de casi 240 millones de euros, lo que eleva la ayuda total a través del Fondo fiduciario regional de la UE en respuesta a la crisis siria a más de 2.000 millones de euros.</w:t>
      </w:r>
    </w:p>
    <w:p w:rsidR="00A36537" w:rsidRPr="00A36537" w:rsidRDefault="00A36537" w:rsidP="00A36537">
      <w:pPr>
        <w:numPr>
          <w:ilvl w:val="0"/>
          <w:numId w:val="3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30 de marzo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Solidaridad de la UE con los Balcanes Occidentales y la vecindad oriental</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w:t>
      </w:r>
      <w:hyperlink r:id="rId170" w:history="1">
        <w:r w:rsidRPr="00A36537">
          <w:rPr>
            <w:rFonts w:ascii="EHUSans" w:eastAsia="Times New Roman" w:hAnsi="EHUSans"/>
            <w:color w:val="0000FF"/>
            <w:sz w:val="24"/>
            <w:szCs w:val="24"/>
            <w:u w:val="single"/>
            <w:lang w:eastAsia="es-ES"/>
          </w:rPr>
          <w:t>reasigna 140 millones de euros</w:t>
        </w:r>
      </w:hyperlink>
      <w:r w:rsidRPr="00A36537">
        <w:rPr>
          <w:rFonts w:ascii="EHUSans" w:eastAsia="Times New Roman" w:hAnsi="EHUSans"/>
          <w:sz w:val="24"/>
          <w:szCs w:val="24"/>
          <w:lang w:eastAsia="es-ES"/>
        </w:rPr>
        <w:t> para las necesidades más inmediatas de los países de la vecindad oriental, y redirigirá el uso de los instrumentos existentes por un valor máximo de 700 millones de euros para ayudar a mitigar el impacto socioeconómico de la crisis del coronavirus. Asimismo, anuncia un </w:t>
      </w:r>
      <w:hyperlink r:id="rId171" w:history="1">
        <w:r w:rsidRPr="00A36537">
          <w:rPr>
            <w:rFonts w:ascii="EHUSans" w:eastAsia="Times New Roman" w:hAnsi="EHUSans"/>
            <w:color w:val="0000FF"/>
            <w:sz w:val="24"/>
            <w:szCs w:val="24"/>
            <w:u w:val="single"/>
            <w:lang w:eastAsia="es-ES"/>
          </w:rPr>
          <w:t>apoyo inmediato de 38 millones de euros a los Balcanes Occidentales</w:t>
        </w:r>
      </w:hyperlink>
      <w:r w:rsidRPr="00A36537">
        <w:rPr>
          <w:rFonts w:ascii="EHUSans" w:eastAsia="Times New Roman" w:hAnsi="EHUSans"/>
          <w:sz w:val="24"/>
          <w:szCs w:val="24"/>
          <w:lang w:eastAsia="es-ES"/>
        </w:rPr>
        <w:t xml:space="preserve"> para hacer frente a la emergencia sanitaria, y una reasignación de 374 millones de euros para contribuir a la recuperación socioeconómica.</w:t>
      </w:r>
    </w:p>
    <w:p w:rsidR="00A36537" w:rsidRPr="00A36537" w:rsidRDefault="00A36537" w:rsidP="00A36537">
      <w:pPr>
        <w:numPr>
          <w:ilvl w:val="0"/>
          <w:numId w:val="3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30 de marzo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Posibilitar la libre circulación de los trabajadores críticos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emite </w:t>
      </w:r>
      <w:hyperlink r:id="rId172" w:history="1">
        <w:r w:rsidRPr="00A36537">
          <w:rPr>
            <w:rFonts w:ascii="EHUSans" w:eastAsia="Times New Roman" w:hAnsi="EHUSans"/>
            <w:color w:val="0000FF"/>
            <w:sz w:val="24"/>
            <w:szCs w:val="24"/>
            <w:u w:val="single"/>
            <w:lang w:eastAsia="es-ES"/>
          </w:rPr>
          <w:t>nuevos consejos prácticos</w:t>
        </w:r>
      </w:hyperlink>
      <w:r w:rsidRPr="00A36537">
        <w:rPr>
          <w:rFonts w:ascii="EHUSans" w:eastAsia="Times New Roman" w:hAnsi="EHUSans"/>
          <w:sz w:val="24"/>
          <w:szCs w:val="24"/>
          <w:lang w:eastAsia="es-ES"/>
        </w:rPr>
        <w:t xml:space="preserve"> para garantizar que, dentro de la UE, los trabajadores móviles, en particular los que ejercen ocupaciones críticas en la lucha contra la pandemia de coronavirus, puedan llegar a su lugar de trabajo. Con estos consejos, y las </w:t>
      </w:r>
      <w:hyperlink r:id="rId173" w:history="1">
        <w:r w:rsidRPr="00A36537">
          <w:rPr>
            <w:rFonts w:ascii="EHUSans" w:eastAsia="Times New Roman" w:hAnsi="EHUSans"/>
            <w:color w:val="0000FF"/>
            <w:sz w:val="24"/>
            <w:szCs w:val="24"/>
            <w:u w:val="single"/>
            <w:lang w:eastAsia="es-ES"/>
          </w:rPr>
          <w:t>Directrices</w:t>
        </w:r>
      </w:hyperlink>
      <w:r w:rsidRPr="00A36537">
        <w:rPr>
          <w:rFonts w:ascii="EHUSans" w:eastAsia="Times New Roman" w:hAnsi="EHUSans"/>
          <w:sz w:val="24"/>
          <w:szCs w:val="24"/>
          <w:lang w:eastAsia="es-ES"/>
        </w:rPr>
        <w:t xml:space="preserve"> sobre la aplicación de la restricción temporal de los viajes no esenciales a la UE, se pretende resolver las dudas prácticas de las empresas y los ciudadanos afectados por las medidas adoptadas para limitar la propagación del coronavirus.</w:t>
      </w:r>
    </w:p>
    <w:p w:rsidR="00A36537" w:rsidRPr="00A36537" w:rsidRDefault="00B33016" w:rsidP="00A36537">
      <w:pPr>
        <w:numPr>
          <w:ilvl w:val="1"/>
          <w:numId w:val="32"/>
        </w:numPr>
        <w:spacing w:before="100" w:beforeAutospacing="1" w:after="100" w:afterAutospacing="1"/>
        <w:rPr>
          <w:rFonts w:ascii="EHUSans" w:eastAsia="Times New Roman" w:hAnsi="EHUSans"/>
          <w:sz w:val="24"/>
          <w:szCs w:val="24"/>
          <w:lang w:eastAsia="es-ES"/>
        </w:rPr>
      </w:pPr>
      <w:hyperlink r:id="rId174" w:history="1">
        <w:r w:rsidR="00A36537" w:rsidRPr="00A36537">
          <w:rPr>
            <w:rFonts w:ascii="EHUSans" w:eastAsia="Times New Roman" w:hAnsi="EHUSans"/>
            <w:color w:val="0000FF"/>
            <w:sz w:val="24"/>
            <w:szCs w:val="24"/>
            <w:u w:val="single"/>
            <w:lang w:eastAsia="es-ES"/>
          </w:rPr>
          <w:t>Mensaje de vídeo</w:t>
        </w:r>
      </w:hyperlink>
      <w:r w:rsidR="00A36537" w:rsidRPr="00A36537">
        <w:rPr>
          <w:rFonts w:ascii="EHUSans" w:eastAsia="Times New Roman" w:hAnsi="EHUSans"/>
          <w:sz w:val="24"/>
          <w:szCs w:val="24"/>
          <w:lang w:eastAsia="es-ES"/>
        </w:rPr>
        <w:t xml:space="preserve"> de la presidenta Von der </w:t>
      </w:r>
      <w:proofErr w:type="spellStart"/>
      <w:r w:rsidR="00A36537" w:rsidRPr="00A36537">
        <w:rPr>
          <w:rFonts w:ascii="EHUSans" w:eastAsia="Times New Roman" w:hAnsi="EHUSans"/>
          <w:sz w:val="24"/>
          <w:szCs w:val="24"/>
          <w:lang w:eastAsia="es-ES"/>
        </w:rPr>
        <w:t>Leyen</w:t>
      </w:r>
      <w:proofErr w:type="spellEnd"/>
      <w:r w:rsidR="00A36537" w:rsidRPr="00A36537">
        <w:rPr>
          <w:rFonts w:ascii="EHUSans" w:eastAsia="Times New Roman" w:hAnsi="EHUSans"/>
          <w:sz w:val="24"/>
          <w:szCs w:val="24"/>
          <w:lang w:eastAsia="es-ES"/>
        </w:rPr>
        <w:t xml:space="preserve"> sobre la libre circulación de los trabajadores críticos</w:t>
      </w:r>
    </w:p>
    <w:p w:rsidR="00A36537" w:rsidRPr="00A36537" w:rsidRDefault="00A36537" w:rsidP="00A36537">
      <w:pPr>
        <w:numPr>
          <w:ilvl w:val="0"/>
          <w:numId w:val="3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27 de marzo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 xml:space="preserve">Incremento del presupuesto para los vuelos de repatriación y la reserva </w:t>
      </w:r>
      <w:proofErr w:type="spellStart"/>
      <w:r w:rsidRPr="00A36537">
        <w:rPr>
          <w:rFonts w:ascii="EHUSans" w:eastAsia="Times New Roman" w:hAnsi="EHUSans"/>
          <w:b/>
          <w:bCs/>
          <w:sz w:val="24"/>
          <w:szCs w:val="24"/>
          <w:lang w:eastAsia="es-ES"/>
        </w:rPr>
        <w:t>rescEU</w:t>
      </w:r>
      <w:proofErr w:type="spellEnd"/>
    </w:p>
    <w:p w:rsidR="00A36537" w:rsidRPr="00A36537" w:rsidRDefault="00B33016" w:rsidP="00A36537">
      <w:pPr>
        <w:spacing w:before="100" w:beforeAutospacing="1" w:after="100" w:afterAutospacing="1"/>
        <w:ind w:left="720"/>
        <w:rPr>
          <w:rFonts w:ascii="EHUSans" w:eastAsia="Times New Roman" w:hAnsi="EHUSans"/>
          <w:sz w:val="24"/>
          <w:szCs w:val="24"/>
          <w:lang w:eastAsia="es-ES"/>
        </w:rPr>
      </w:pPr>
      <w:hyperlink r:id="rId175" w:history="1">
        <w:r w:rsidR="00A36537" w:rsidRPr="00A36537">
          <w:rPr>
            <w:rFonts w:ascii="EHUSans" w:eastAsia="Times New Roman" w:hAnsi="EHUSans"/>
            <w:color w:val="0000FF"/>
            <w:sz w:val="24"/>
            <w:szCs w:val="24"/>
            <w:u w:val="single"/>
            <w:lang w:eastAsia="es-ES"/>
          </w:rPr>
          <w:t>Es preciso habilitar</w:t>
        </w:r>
      </w:hyperlink>
      <w:r w:rsidR="00A36537" w:rsidRPr="00A36537">
        <w:rPr>
          <w:rFonts w:ascii="EHUSans" w:eastAsia="Times New Roman" w:hAnsi="EHUSans"/>
          <w:sz w:val="24"/>
          <w:szCs w:val="24"/>
          <w:lang w:eastAsia="es-ES"/>
        </w:rPr>
        <w:t xml:space="preserve"> 75 millones de euros del presupuesto de la UE para ayudar a los Estados miembros a repatriar a los nacionales de la UE y para aumentar el presupuesto de la reserva médica </w:t>
      </w:r>
      <w:proofErr w:type="spellStart"/>
      <w:r w:rsidR="00A36537" w:rsidRPr="00A36537">
        <w:rPr>
          <w:rFonts w:ascii="EHUSans" w:eastAsia="Times New Roman" w:hAnsi="EHUSans"/>
          <w:sz w:val="24"/>
          <w:szCs w:val="24"/>
          <w:lang w:eastAsia="es-ES"/>
        </w:rPr>
        <w:t>rescEU</w:t>
      </w:r>
      <w:proofErr w:type="spellEnd"/>
      <w:r w:rsidR="00A36537" w:rsidRPr="00A36537">
        <w:rPr>
          <w:rFonts w:ascii="EHUSans" w:eastAsia="Times New Roman" w:hAnsi="EHUSans"/>
          <w:sz w:val="24"/>
          <w:szCs w:val="24"/>
          <w:lang w:eastAsia="es-ES"/>
        </w:rPr>
        <w:t>. Gracias a los vuelos de repatriación organizados a través del Mecanismo de Protección Civil de la Unión, ya han regresado a Europa cerca de 10.000 personas.</w:t>
      </w:r>
    </w:p>
    <w:p w:rsidR="00A36537" w:rsidRPr="00A36537" w:rsidRDefault="00B33016" w:rsidP="00A36537">
      <w:pPr>
        <w:numPr>
          <w:ilvl w:val="1"/>
          <w:numId w:val="32"/>
        </w:numPr>
        <w:spacing w:before="100" w:beforeAutospacing="1" w:after="100" w:afterAutospacing="1"/>
        <w:rPr>
          <w:rFonts w:ascii="EHUSans" w:eastAsia="Times New Roman" w:hAnsi="EHUSans"/>
          <w:sz w:val="24"/>
          <w:szCs w:val="24"/>
          <w:lang w:eastAsia="es-ES"/>
        </w:rPr>
      </w:pPr>
      <w:hyperlink r:id="rId176" w:history="1">
        <w:r w:rsidR="00A36537" w:rsidRPr="00A36537">
          <w:rPr>
            <w:rFonts w:ascii="EHUSans" w:eastAsia="Times New Roman" w:hAnsi="EHUSans"/>
            <w:color w:val="0000FF"/>
            <w:sz w:val="24"/>
            <w:szCs w:val="24"/>
            <w:u w:val="single"/>
            <w:lang w:eastAsia="es-ES"/>
          </w:rPr>
          <w:t xml:space="preserve">Mensaje de la presidenta Von der </w:t>
        </w:r>
        <w:proofErr w:type="spellStart"/>
        <w:r w:rsidR="00A36537" w:rsidRPr="00A36537">
          <w:rPr>
            <w:rFonts w:ascii="EHUSans" w:eastAsia="Times New Roman" w:hAnsi="EHUSans"/>
            <w:color w:val="0000FF"/>
            <w:sz w:val="24"/>
            <w:szCs w:val="24"/>
            <w:u w:val="single"/>
            <w:lang w:eastAsia="es-ES"/>
          </w:rPr>
          <w:t>Leyen</w:t>
        </w:r>
        <w:proofErr w:type="spellEnd"/>
      </w:hyperlink>
      <w:r w:rsidR="00A36537" w:rsidRPr="00A36537">
        <w:rPr>
          <w:rFonts w:ascii="EHUSans" w:eastAsia="Times New Roman" w:hAnsi="EHUSans"/>
          <w:sz w:val="24"/>
          <w:szCs w:val="24"/>
          <w:lang w:eastAsia="es-ES"/>
        </w:rPr>
        <w:t> sobre la repatriación de los ciudadanos europeos bloqueados en el extranjero (19 de marzo)</w:t>
      </w:r>
    </w:p>
    <w:p w:rsidR="00A36537" w:rsidRPr="00A36537" w:rsidRDefault="00A36537" w:rsidP="00A36537">
      <w:pPr>
        <w:numPr>
          <w:ilvl w:val="0"/>
          <w:numId w:val="3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26 de marzo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Garantizar la continuidad del transporte aéreo de mercancías esenciales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Europea </w:t>
      </w:r>
      <w:hyperlink r:id="rId177" w:history="1">
        <w:r w:rsidRPr="00A36537">
          <w:rPr>
            <w:rFonts w:ascii="EHUSans" w:eastAsia="Times New Roman" w:hAnsi="EHUSans"/>
            <w:color w:val="0000FF"/>
            <w:sz w:val="24"/>
            <w:szCs w:val="24"/>
            <w:u w:val="single"/>
            <w:lang w:eastAsia="es-ES"/>
          </w:rPr>
          <w:t>insta a los Estados miembros de la UE</w:t>
        </w:r>
      </w:hyperlink>
      <w:r w:rsidRPr="00A36537">
        <w:rPr>
          <w:rFonts w:ascii="EHUSans" w:eastAsia="Times New Roman" w:hAnsi="EHUSans"/>
          <w:sz w:val="24"/>
          <w:szCs w:val="24"/>
          <w:lang w:eastAsia="es-ES"/>
        </w:rPr>
        <w:t xml:space="preserve"> a que apoyen las operaciones de transporte aéreo de mercancías durante la crisis del coronavirus. Las nuevas directrices recomiendan medidas operativas y organizativas para mantener en movimiento los flujos esenciales de transporte, especialmente el de personal y suministros médicos.</w:t>
      </w:r>
    </w:p>
    <w:p w:rsidR="00A36537" w:rsidRPr="00A36537" w:rsidRDefault="00A36537" w:rsidP="00A36537">
      <w:pPr>
        <w:numPr>
          <w:ilvl w:val="0"/>
          <w:numId w:val="3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26 de marzo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Se reafirma el compromiso con la cooperación internacional</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En el transcurso de la videoconferencia extraordinaria de los líderes del G-20, la presidenta Von der </w:t>
      </w:r>
      <w:proofErr w:type="spellStart"/>
      <w:r w:rsidRPr="00A36537">
        <w:rPr>
          <w:rFonts w:ascii="EHUSans" w:eastAsia="Times New Roman" w:hAnsi="EHUSans"/>
          <w:sz w:val="24"/>
          <w:szCs w:val="24"/>
          <w:lang w:eastAsia="es-ES"/>
        </w:rPr>
        <w:t>Leyen</w:t>
      </w:r>
      <w:proofErr w:type="spellEnd"/>
      <w:r w:rsidRPr="00A36537">
        <w:rPr>
          <w:rFonts w:ascii="EHUSans" w:eastAsia="Times New Roman" w:hAnsi="EHUSans"/>
          <w:sz w:val="24"/>
          <w:szCs w:val="24"/>
          <w:lang w:eastAsia="es-ES"/>
        </w:rPr>
        <w:t xml:space="preserve"> y el presidente del Consejo Europeo, Charles Michel, </w:t>
      </w:r>
      <w:hyperlink r:id="rId178" w:history="1">
        <w:r w:rsidRPr="00A36537">
          <w:rPr>
            <w:rFonts w:ascii="EHUSans" w:eastAsia="Times New Roman" w:hAnsi="EHUSans"/>
            <w:color w:val="0000FF"/>
            <w:sz w:val="24"/>
            <w:szCs w:val="24"/>
            <w:u w:val="single"/>
            <w:lang w:eastAsia="es-ES"/>
          </w:rPr>
          <w:t>subrayan</w:t>
        </w:r>
      </w:hyperlink>
      <w:r w:rsidRPr="00A36537">
        <w:rPr>
          <w:rFonts w:ascii="EHUSans" w:eastAsia="Times New Roman" w:hAnsi="EHUSans"/>
          <w:sz w:val="24"/>
          <w:szCs w:val="24"/>
          <w:lang w:eastAsia="es-ES"/>
        </w:rPr>
        <w:t> el compromiso de la UE con la cooperación internacional en la lucha contra la pandemia y su voluntad de seguir ayudando a los países y las comunidades vulnerables de todo el mundo.</w:t>
      </w:r>
    </w:p>
    <w:p w:rsidR="00A36537" w:rsidRPr="00A36537" w:rsidRDefault="00A36537" w:rsidP="00A36537">
      <w:pPr>
        <w:numPr>
          <w:ilvl w:val="0"/>
          <w:numId w:val="3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25 de marzo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Proteger la tecnología y los activos críticos europeos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Se emiten </w:t>
      </w:r>
      <w:hyperlink r:id="rId179" w:history="1">
        <w:r w:rsidRPr="00A36537">
          <w:rPr>
            <w:rFonts w:ascii="EHUSans" w:eastAsia="Times New Roman" w:hAnsi="EHUSans"/>
            <w:color w:val="0000FF"/>
            <w:sz w:val="24"/>
            <w:szCs w:val="24"/>
            <w:u w:val="single"/>
            <w:lang w:eastAsia="es-ES"/>
          </w:rPr>
          <w:t>orientaciones</w:t>
        </w:r>
      </w:hyperlink>
      <w:r w:rsidRPr="00A36537">
        <w:rPr>
          <w:rFonts w:ascii="EHUSans" w:eastAsia="Times New Roman" w:hAnsi="EHUSans"/>
          <w:sz w:val="24"/>
          <w:szCs w:val="24"/>
          <w:lang w:eastAsia="es-ES"/>
        </w:rPr>
        <w:t xml:space="preserve"> destinadas a garantizar un </w:t>
      </w:r>
      <w:hyperlink r:id="rId180" w:history="1">
        <w:r w:rsidRPr="00A36537">
          <w:rPr>
            <w:rFonts w:ascii="EHUSans" w:eastAsia="Times New Roman" w:hAnsi="EHUSans"/>
            <w:color w:val="0000FF"/>
            <w:sz w:val="24"/>
            <w:szCs w:val="24"/>
            <w:u w:val="single"/>
            <w:lang w:eastAsia="es-ES"/>
          </w:rPr>
          <w:t>enfoque firme en toda la UE</w:t>
        </w:r>
      </w:hyperlink>
      <w:r w:rsidRPr="00A36537">
        <w:rPr>
          <w:rFonts w:ascii="EHUSans" w:eastAsia="Times New Roman" w:hAnsi="EHUSans"/>
          <w:sz w:val="24"/>
          <w:szCs w:val="24"/>
          <w:lang w:eastAsia="es-ES"/>
        </w:rPr>
        <w:t xml:space="preserve"> en cuanto al control de las inversiones extranjeras en tiempos de crisis de salud pública y vulnerabilidad económica. El objetivo es preservar las empresas y los activos críticos de la UE en ámbitos como la salud, la investigación médica, la biotecnología y otros, sin por ello socavar la apertura general de la UE a la inversión extranjera.</w:t>
      </w:r>
    </w:p>
    <w:p w:rsidR="00A36537" w:rsidRPr="00A36537" w:rsidRDefault="00B33016" w:rsidP="00A36537">
      <w:pPr>
        <w:numPr>
          <w:ilvl w:val="1"/>
          <w:numId w:val="32"/>
        </w:numPr>
        <w:spacing w:before="100" w:beforeAutospacing="1" w:after="100" w:afterAutospacing="1"/>
        <w:rPr>
          <w:rFonts w:ascii="EHUSans" w:eastAsia="Times New Roman" w:hAnsi="EHUSans"/>
          <w:sz w:val="24"/>
          <w:szCs w:val="24"/>
          <w:lang w:eastAsia="es-ES"/>
        </w:rPr>
      </w:pPr>
      <w:hyperlink r:id="rId181" w:history="1">
        <w:r w:rsidR="00A36537" w:rsidRPr="00A36537">
          <w:rPr>
            <w:rFonts w:ascii="EHUSans" w:eastAsia="Times New Roman" w:hAnsi="EHUSans"/>
            <w:color w:val="0000FF"/>
            <w:sz w:val="24"/>
            <w:szCs w:val="24"/>
            <w:u w:val="single"/>
            <w:lang w:eastAsia="es-ES"/>
          </w:rPr>
          <w:t>Mensaje de vídeo</w:t>
        </w:r>
      </w:hyperlink>
      <w:r w:rsidR="00A36537" w:rsidRPr="00A36537">
        <w:rPr>
          <w:rFonts w:ascii="EHUSans" w:eastAsia="Times New Roman" w:hAnsi="EHUSans"/>
          <w:sz w:val="24"/>
          <w:szCs w:val="24"/>
          <w:lang w:eastAsia="es-ES"/>
        </w:rPr>
        <w:t xml:space="preserve"> de la presidenta Von der </w:t>
      </w:r>
      <w:proofErr w:type="spellStart"/>
      <w:r w:rsidR="00A36537" w:rsidRPr="00A36537">
        <w:rPr>
          <w:rFonts w:ascii="EHUSans" w:eastAsia="Times New Roman" w:hAnsi="EHUSans"/>
          <w:sz w:val="24"/>
          <w:szCs w:val="24"/>
          <w:lang w:eastAsia="es-ES"/>
        </w:rPr>
        <w:t>Leyen</w:t>
      </w:r>
      <w:proofErr w:type="spellEnd"/>
      <w:r w:rsidR="00A36537" w:rsidRPr="00A36537">
        <w:rPr>
          <w:rFonts w:ascii="EHUSans" w:eastAsia="Times New Roman" w:hAnsi="EHUSans"/>
          <w:sz w:val="24"/>
          <w:szCs w:val="24"/>
          <w:lang w:eastAsia="es-ES"/>
        </w:rPr>
        <w:t xml:space="preserve"> sobre las orientaciones para proteger la tecnología y los activos críticos europeos en la crisis actual</w:t>
      </w:r>
    </w:p>
    <w:p w:rsidR="00A36537" w:rsidRPr="00A36537" w:rsidRDefault="00A36537" w:rsidP="00A36537">
      <w:pPr>
        <w:numPr>
          <w:ilvl w:val="0"/>
          <w:numId w:val="3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23 de marzo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Garantizar el flujo continuo de mercancías en toda la UE a través de los «carriles verdes»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Se emiten </w:t>
      </w:r>
      <w:hyperlink r:id="rId182" w:history="1">
        <w:r w:rsidRPr="00A36537">
          <w:rPr>
            <w:rFonts w:ascii="EHUSans" w:eastAsia="Times New Roman" w:hAnsi="EHUSans"/>
            <w:color w:val="0000FF"/>
            <w:sz w:val="24"/>
            <w:szCs w:val="24"/>
            <w:u w:val="single"/>
            <w:lang w:eastAsia="es-ES"/>
          </w:rPr>
          <w:t>nuevos consejos prácticos</w:t>
        </w:r>
      </w:hyperlink>
      <w:r w:rsidRPr="00A36537">
        <w:rPr>
          <w:rFonts w:ascii="EHUSans" w:eastAsia="Times New Roman" w:hAnsi="EHUSans"/>
          <w:sz w:val="24"/>
          <w:szCs w:val="24"/>
          <w:lang w:eastAsia="es-ES"/>
        </w:rPr>
        <w:t xml:space="preserve"> sobre la aplicación de las directrices de gestión de las fronteras, con el fin de mantener el transporte de mercancías en toda la UE durante la pandemia. Se pide a los Estados miembros que designen como «carriles verdes» todos los </w:t>
      </w:r>
      <w:r w:rsidRPr="00A36537">
        <w:rPr>
          <w:rFonts w:ascii="EHUSans" w:eastAsia="Times New Roman" w:hAnsi="EHUSans"/>
          <w:sz w:val="24"/>
          <w:szCs w:val="24"/>
          <w:lang w:eastAsia="es-ES"/>
        </w:rPr>
        <w:lastRenderedPageBreak/>
        <w:t xml:space="preserve">pasos fronterizos internos pertinentes de la red </w:t>
      </w:r>
      <w:proofErr w:type="spellStart"/>
      <w:r w:rsidRPr="00A36537">
        <w:rPr>
          <w:rFonts w:ascii="EHUSans" w:eastAsia="Times New Roman" w:hAnsi="EHUSans"/>
          <w:sz w:val="24"/>
          <w:szCs w:val="24"/>
          <w:lang w:eastAsia="es-ES"/>
        </w:rPr>
        <w:t>transeuropea</w:t>
      </w:r>
      <w:proofErr w:type="spellEnd"/>
      <w:r w:rsidRPr="00A36537">
        <w:rPr>
          <w:rFonts w:ascii="EHUSans" w:eastAsia="Times New Roman" w:hAnsi="EHUSans"/>
          <w:sz w:val="24"/>
          <w:szCs w:val="24"/>
          <w:lang w:eastAsia="es-ES"/>
        </w:rPr>
        <w:t xml:space="preserve"> de transporte (RTE-T). Deben estar abiertos a todos los vehículos de mercancías, independientemente de las mercancías que transporten.</w:t>
      </w:r>
    </w:p>
    <w:p w:rsidR="00A36537" w:rsidRPr="00A36537" w:rsidRDefault="00B33016" w:rsidP="00A36537">
      <w:pPr>
        <w:numPr>
          <w:ilvl w:val="1"/>
          <w:numId w:val="32"/>
        </w:numPr>
        <w:spacing w:before="100" w:beforeAutospacing="1" w:after="100" w:afterAutospacing="1"/>
        <w:rPr>
          <w:rFonts w:ascii="EHUSans" w:eastAsia="Times New Roman" w:hAnsi="EHUSans"/>
          <w:sz w:val="24"/>
          <w:szCs w:val="24"/>
          <w:lang w:eastAsia="es-ES"/>
        </w:rPr>
      </w:pPr>
      <w:hyperlink r:id="rId183" w:history="1">
        <w:r w:rsidR="00A36537" w:rsidRPr="00A36537">
          <w:rPr>
            <w:rFonts w:ascii="EHUSans" w:eastAsia="Times New Roman" w:hAnsi="EHUSans"/>
            <w:color w:val="0000FF"/>
            <w:sz w:val="24"/>
            <w:szCs w:val="24"/>
            <w:u w:val="single"/>
            <w:lang w:eastAsia="es-ES"/>
          </w:rPr>
          <w:t>Mensaje de vídeo</w:t>
        </w:r>
      </w:hyperlink>
      <w:r w:rsidR="00A36537" w:rsidRPr="00A36537">
        <w:rPr>
          <w:rFonts w:ascii="EHUSans" w:eastAsia="Times New Roman" w:hAnsi="EHUSans"/>
          <w:sz w:val="24"/>
          <w:szCs w:val="24"/>
          <w:lang w:eastAsia="es-ES"/>
        </w:rPr>
        <w:t xml:space="preserve"> de la presidenta Von der </w:t>
      </w:r>
      <w:proofErr w:type="spellStart"/>
      <w:r w:rsidR="00A36537" w:rsidRPr="00A36537">
        <w:rPr>
          <w:rFonts w:ascii="EHUSans" w:eastAsia="Times New Roman" w:hAnsi="EHUSans"/>
          <w:sz w:val="24"/>
          <w:szCs w:val="24"/>
          <w:lang w:eastAsia="es-ES"/>
        </w:rPr>
        <w:t>Leyen</w:t>
      </w:r>
      <w:proofErr w:type="spellEnd"/>
      <w:r w:rsidR="00A36537" w:rsidRPr="00A36537">
        <w:rPr>
          <w:rFonts w:ascii="EHUSans" w:eastAsia="Times New Roman" w:hAnsi="EHUSans"/>
          <w:sz w:val="24"/>
          <w:szCs w:val="24"/>
          <w:lang w:eastAsia="es-ES"/>
        </w:rPr>
        <w:t xml:space="preserve"> sobre las directrices para crear los «carriles verdes»</w:t>
      </w:r>
    </w:p>
    <w:p w:rsidR="00A36537" w:rsidRPr="00A36537" w:rsidRDefault="00A36537" w:rsidP="00A36537">
      <w:pPr>
        <w:numPr>
          <w:ilvl w:val="0"/>
          <w:numId w:val="3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20 de marzo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Activación de la cláusula general de salvaguardia presupuestaria para responder a la pandemia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La Comisión propone la </w:t>
      </w:r>
      <w:hyperlink r:id="rId184" w:history="1">
        <w:r w:rsidRPr="00A36537">
          <w:rPr>
            <w:rFonts w:ascii="EHUSans" w:eastAsia="Times New Roman" w:hAnsi="EHUSans"/>
            <w:color w:val="0000FF"/>
            <w:sz w:val="24"/>
            <w:szCs w:val="24"/>
            <w:u w:val="single"/>
            <w:lang w:eastAsia="es-ES"/>
          </w:rPr>
          <w:t>activación de la cláusula general de salvaguardia</w:t>
        </w:r>
      </w:hyperlink>
      <w:r w:rsidRPr="00A36537">
        <w:rPr>
          <w:rFonts w:ascii="EHUSans" w:eastAsia="Times New Roman" w:hAnsi="EHUSans"/>
          <w:sz w:val="24"/>
          <w:szCs w:val="24"/>
          <w:lang w:eastAsia="es-ES"/>
        </w:rPr>
        <w:t xml:space="preserve"> del Pacto de Estabilidad y Crecimiento. Tras su aprobación por el Consejo, permitirá a los Estados miembros adoptar medidas para hacer frente a la crisis de forma adecuada, apartándose de los requisitos presupuestarios que se aplicarían normalmente en virtud del marco presupuestario europeo.</w:t>
      </w:r>
    </w:p>
    <w:p w:rsidR="00A36537" w:rsidRPr="00A36537" w:rsidRDefault="00B33016" w:rsidP="00A36537">
      <w:pPr>
        <w:numPr>
          <w:ilvl w:val="1"/>
          <w:numId w:val="32"/>
        </w:numPr>
        <w:spacing w:before="100" w:beforeAutospacing="1" w:after="100" w:afterAutospacing="1"/>
        <w:rPr>
          <w:rFonts w:ascii="EHUSans" w:eastAsia="Times New Roman" w:hAnsi="EHUSans"/>
          <w:sz w:val="24"/>
          <w:szCs w:val="24"/>
          <w:lang w:eastAsia="es-ES"/>
        </w:rPr>
      </w:pPr>
      <w:hyperlink r:id="rId185" w:history="1">
        <w:r w:rsidR="00A36537" w:rsidRPr="00A36537">
          <w:rPr>
            <w:rFonts w:ascii="EHUSans" w:eastAsia="Times New Roman" w:hAnsi="EHUSans"/>
            <w:color w:val="0000FF"/>
            <w:sz w:val="24"/>
            <w:szCs w:val="24"/>
            <w:u w:val="single"/>
            <w:lang w:eastAsia="es-ES"/>
          </w:rPr>
          <w:t>Mensaje de vídeo</w:t>
        </w:r>
      </w:hyperlink>
      <w:r w:rsidR="00A36537" w:rsidRPr="00A36537">
        <w:rPr>
          <w:rFonts w:ascii="EHUSans" w:eastAsia="Times New Roman" w:hAnsi="EHUSans"/>
          <w:sz w:val="24"/>
          <w:szCs w:val="24"/>
          <w:lang w:eastAsia="es-ES"/>
        </w:rPr>
        <w:t xml:space="preserve"> de la presidenta Von der </w:t>
      </w:r>
      <w:proofErr w:type="spellStart"/>
      <w:r w:rsidR="00A36537" w:rsidRPr="00A36537">
        <w:rPr>
          <w:rFonts w:ascii="EHUSans" w:eastAsia="Times New Roman" w:hAnsi="EHUSans"/>
          <w:sz w:val="24"/>
          <w:szCs w:val="24"/>
          <w:lang w:eastAsia="es-ES"/>
        </w:rPr>
        <w:t>Leyen</w:t>
      </w:r>
      <w:proofErr w:type="spellEnd"/>
      <w:r w:rsidR="00A36537" w:rsidRPr="00A36537">
        <w:rPr>
          <w:rFonts w:ascii="EHUSans" w:eastAsia="Times New Roman" w:hAnsi="EHUSans"/>
          <w:sz w:val="24"/>
          <w:szCs w:val="24"/>
          <w:lang w:eastAsia="es-ES"/>
        </w:rPr>
        <w:t xml:space="preserve"> sobre las nuevas medidas de apoyo a la economía</w:t>
      </w:r>
    </w:p>
    <w:p w:rsidR="00A36537" w:rsidRPr="00A36537" w:rsidRDefault="00A36537" w:rsidP="00A36537">
      <w:pPr>
        <w:numPr>
          <w:ilvl w:val="0"/>
          <w:numId w:val="32"/>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20 de marzo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Puesta a disposición gratuita de las normas europeas relativas a los suministros médicos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El Comité Europeo de Normalización y el Comité Europeo de Normalización Electrotécnica </w:t>
      </w:r>
      <w:hyperlink r:id="rId186" w:history="1">
        <w:r w:rsidRPr="00A36537">
          <w:rPr>
            <w:rFonts w:ascii="EHUSans" w:eastAsia="Times New Roman" w:hAnsi="EHUSans"/>
            <w:color w:val="0000FF"/>
            <w:sz w:val="24"/>
            <w:szCs w:val="24"/>
            <w:u w:val="single"/>
            <w:lang w:eastAsia="es-ES"/>
          </w:rPr>
          <w:t>ponen a disposición una serie normas europeas</w:t>
        </w:r>
      </w:hyperlink>
      <w:r w:rsidRPr="00A36537">
        <w:rPr>
          <w:rFonts w:ascii="EHUSans" w:eastAsia="Times New Roman" w:hAnsi="EHUSans"/>
          <w:sz w:val="24"/>
          <w:szCs w:val="24"/>
          <w:lang w:eastAsia="es-ES"/>
        </w:rPr>
        <w:t xml:space="preserve"> relativas a determinados productos sanitarios y equipos de protección individual. Esta medida ayudará tanto a las empresas de la UE como a las de terceros países a iniciar rápidamente su producción y a comercializarlos más fácilmente en el mercado interior, garantizando al mismo tiempo un alto grado de seguridad.</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Febrero</w:t>
      </w:r>
    </w:p>
    <w:p w:rsidR="00A36537" w:rsidRPr="00A36537" w:rsidRDefault="00A36537" w:rsidP="00A36537">
      <w:pPr>
        <w:numPr>
          <w:ilvl w:val="0"/>
          <w:numId w:val="33"/>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28 de febrero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Adquisición de equipos médicos conjuntamente con los Estados miembros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Se ponen en marcha, por primera vez, cuatro </w:t>
      </w:r>
      <w:hyperlink r:id="rId187" w:history="1">
        <w:r w:rsidRPr="00A36537">
          <w:rPr>
            <w:rFonts w:ascii="EHUSans" w:eastAsia="Times New Roman" w:hAnsi="EHUSans"/>
            <w:color w:val="0000FF"/>
            <w:sz w:val="24"/>
            <w:szCs w:val="24"/>
            <w:u w:val="single"/>
            <w:lang w:eastAsia="es-ES"/>
          </w:rPr>
          <w:t>licitaciones conjuntas</w:t>
        </w:r>
      </w:hyperlink>
      <w:r w:rsidRPr="00A36537">
        <w:rPr>
          <w:rFonts w:ascii="EHUSans" w:eastAsia="Times New Roman" w:hAnsi="EHUSans"/>
          <w:sz w:val="24"/>
          <w:szCs w:val="24"/>
          <w:lang w:eastAsia="es-ES"/>
        </w:rPr>
        <w:t xml:space="preserve"> con los Estados miembros de equipos de protección individual. Esto convierte a la UE en un gran comprador y anima a los proveedores a reaccionar rápidamente a la escala necesaria y a suministrar el máximo número posible de equipos al mejor precio. El </w:t>
      </w:r>
      <w:hyperlink r:id="rId188" w:history="1">
        <w:r w:rsidRPr="00A36537">
          <w:rPr>
            <w:rFonts w:ascii="EHUSans" w:eastAsia="Times New Roman" w:hAnsi="EHUSans"/>
            <w:color w:val="0000FF"/>
            <w:sz w:val="24"/>
            <w:szCs w:val="24"/>
            <w:u w:val="single"/>
            <w:lang w:eastAsia="es-ES"/>
          </w:rPr>
          <w:t>24 de marzo</w:t>
        </w:r>
      </w:hyperlink>
      <w:r w:rsidRPr="00A36537">
        <w:rPr>
          <w:rFonts w:ascii="EHUSans" w:eastAsia="Times New Roman" w:hAnsi="EHUSans"/>
          <w:sz w:val="24"/>
          <w:szCs w:val="24"/>
          <w:lang w:eastAsia="es-ES"/>
        </w:rPr>
        <w:t>, los productores habrán presentado ya ofertas que cubren, y en algunos casos incluso superan, las cantidades solicitadas.</w:t>
      </w:r>
    </w:p>
    <w:p w:rsidR="00A36537" w:rsidRPr="00A36537" w:rsidRDefault="00A36537" w:rsidP="00A36537">
      <w:pPr>
        <w:numPr>
          <w:ilvl w:val="0"/>
          <w:numId w:val="33"/>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lastRenderedPageBreak/>
        <w:t>24 de febrero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Apoyar los esfuerzos mundiales para atajar el brote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Para impulsar la preparación, la prevención y la contención mundiales del virus, la Comisión </w:t>
      </w:r>
      <w:hyperlink r:id="rId189" w:history="1">
        <w:r w:rsidRPr="00A36537">
          <w:rPr>
            <w:rFonts w:ascii="EHUSans" w:eastAsia="Times New Roman" w:hAnsi="EHUSans"/>
            <w:color w:val="0000FF"/>
            <w:sz w:val="24"/>
            <w:szCs w:val="24"/>
            <w:u w:val="single"/>
            <w:lang w:eastAsia="es-ES"/>
          </w:rPr>
          <w:t>anuncia</w:t>
        </w:r>
      </w:hyperlink>
      <w:r w:rsidRPr="00A36537">
        <w:rPr>
          <w:rFonts w:ascii="EHUSans" w:eastAsia="Times New Roman" w:hAnsi="EHUSans"/>
          <w:sz w:val="24"/>
          <w:szCs w:val="24"/>
          <w:lang w:eastAsia="es-ES"/>
        </w:rPr>
        <w:t xml:space="preserve"> un nuevo paquete de ayuda por valor de 232 millones de euros. La Comisión intensifica también su apoyo a los Estados miembros en el contexto de los trabajos de preparación, contingencia y planificación de la respuesta.</w:t>
      </w:r>
    </w:p>
    <w:p w:rsidR="00A36537" w:rsidRPr="00A36537" w:rsidRDefault="00A36537" w:rsidP="00A36537">
      <w:pPr>
        <w:numPr>
          <w:ilvl w:val="0"/>
          <w:numId w:val="33"/>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23 de febrero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En solidaridad con China, la UE ofrece equipos de protección adicionales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La Comisión </w:t>
      </w:r>
      <w:hyperlink r:id="rId190" w:history="1">
        <w:r w:rsidRPr="00A36537">
          <w:rPr>
            <w:rFonts w:ascii="EHUSans" w:eastAsia="Times New Roman" w:hAnsi="EHUSans"/>
            <w:color w:val="0000FF"/>
            <w:sz w:val="24"/>
            <w:szCs w:val="24"/>
            <w:u w:val="single"/>
            <w:lang w:eastAsia="es-ES"/>
          </w:rPr>
          <w:t>cofinancia</w:t>
        </w:r>
      </w:hyperlink>
      <w:r w:rsidRPr="00A36537">
        <w:rPr>
          <w:rFonts w:ascii="EHUSans" w:eastAsia="Times New Roman" w:hAnsi="EHUSans"/>
          <w:sz w:val="24"/>
          <w:szCs w:val="24"/>
          <w:lang w:eastAsia="es-ES"/>
        </w:rPr>
        <w:t> la entrega a China de más de 25 toneladas de equipos de protección individual una vez activado el Mecanismo de Protección Civil de la UE. Esto se añade a las más de 30 toneladas de equipos de protección movilizados por los Estados miembros de la UE que ya se habían entregado en febrero de 2020.</w:t>
      </w:r>
    </w:p>
    <w:p w:rsidR="00A36537" w:rsidRPr="00A36537" w:rsidRDefault="00A36537" w:rsidP="00A36537">
      <w:pPr>
        <w:numPr>
          <w:ilvl w:val="0"/>
          <w:numId w:val="33"/>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1-2 de febrero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Devolver a los ciudadanos de la UE a sus países de origen</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Las primeras repatriaciones por vía aérea desde Francia y Alemania, cofinanciadas por el Mecanismo de Protección Civil de la UE, devuelven a sus países de origen a 447 ciudadanos europeos desde Wuhan. La Comisión Europea trabaja en todos los frentes para apoyar los esfuerzos de lucha contra el coronavirus, ayudar a los Estados miembros a repatriar a sus ciudadanos y prestar servicios de emergencia a China.</w:t>
      </w:r>
    </w:p>
    <w:p w:rsidR="00A36537" w:rsidRPr="00A36537" w:rsidRDefault="00A36537" w:rsidP="00A36537">
      <w:pPr>
        <w:numPr>
          <w:ilvl w:val="0"/>
          <w:numId w:val="33"/>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1 de febrero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Entrega a China de equipos de primeros auxilios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Como </w:t>
      </w:r>
      <w:hyperlink r:id="rId191" w:history="1">
        <w:r w:rsidRPr="00A36537">
          <w:rPr>
            <w:rFonts w:ascii="EHUSans" w:eastAsia="Times New Roman" w:hAnsi="EHUSans"/>
            <w:color w:val="0000FF"/>
            <w:sz w:val="24"/>
            <w:szCs w:val="24"/>
            <w:u w:val="single"/>
            <w:lang w:eastAsia="es-ES"/>
          </w:rPr>
          <w:t>primera respuesta</w:t>
        </w:r>
      </w:hyperlink>
      <w:r w:rsidRPr="00A36537">
        <w:rPr>
          <w:rFonts w:ascii="EHUSans" w:eastAsia="Times New Roman" w:hAnsi="EHUSans"/>
          <w:sz w:val="24"/>
          <w:szCs w:val="24"/>
          <w:lang w:eastAsia="es-ES"/>
        </w:rPr>
        <w:t xml:space="preserve"> inmediata, los Estados miembros de la UE movilizan y entregan a China un total de 12 toneladas de equipos de protección.</w:t>
      </w:r>
    </w:p>
    <w:p w:rsidR="00A36537" w:rsidRPr="00A36537" w:rsidRDefault="00A36537" w:rsidP="00A36537">
      <w:pPr>
        <w:spacing w:before="100" w:beforeAutospacing="1" w:after="100" w:afterAutospacing="1"/>
        <w:outlineLvl w:val="1"/>
        <w:rPr>
          <w:rFonts w:ascii="EHUSans" w:eastAsia="Times New Roman" w:hAnsi="EHUSans"/>
          <w:b/>
          <w:bCs/>
          <w:sz w:val="36"/>
          <w:szCs w:val="36"/>
          <w:lang w:eastAsia="es-ES"/>
        </w:rPr>
      </w:pPr>
      <w:r w:rsidRPr="00A36537">
        <w:rPr>
          <w:rFonts w:ascii="EHUSans" w:eastAsia="Times New Roman" w:hAnsi="EHUSans"/>
          <w:b/>
          <w:bCs/>
          <w:sz w:val="36"/>
          <w:szCs w:val="36"/>
          <w:lang w:eastAsia="es-ES"/>
        </w:rPr>
        <w:t>Enero</w:t>
      </w:r>
    </w:p>
    <w:p w:rsidR="00A36537" w:rsidRPr="00A36537" w:rsidRDefault="00A36537" w:rsidP="00A36537">
      <w:pPr>
        <w:numPr>
          <w:ilvl w:val="0"/>
          <w:numId w:val="34"/>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31 de enero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Se movilizan los primeros fondos para la investigación sobre el nuevo brote de coronavirus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lastRenderedPageBreak/>
        <w:t>Se conceden 10 millones de euros del programa de investigación e innovación de la UE, Horizonte 2020, para apoyar la investigación sobre la enfermedad causada por el nuevo coronavirus. La Comisión </w:t>
      </w:r>
      <w:hyperlink r:id="rId192" w:history="1">
        <w:r w:rsidRPr="00A36537">
          <w:rPr>
            <w:rFonts w:ascii="EHUSans" w:eastAsia="Times New Roman" w:hAnsi="EHUSans"/>
            <w:color w:val="0000FF"/>
            <w:sz w:val="24"/>
            <w:szCs w:val="24"/>
            <w:u w:val="single"/>
            <w:lang w:eastAsia="es-ES"/>
          </w:rPr>
          <w:t>pone en marcha una convocatoria de emergencia</w:t>
        </w:r>
      </w:hyperlink>
      <w:r w:rsidRPr="00A36537">
        <w:rPr>
          <w:rFonts w:ascii="EHUSans" w:eastAsia="Times New Roman" w:hAnsi="EHUSans"/>
          <w:sz w:val="24"/>
          <w:szCs w:val="24"/>
          <w:lang w:eastAsia="es-ES"/>
        </w:rPr>
        <w:t xml:space="preserve"> de manifestaciones de interés para proyectos de investigación.</w:t>
      </w:r>
    </w:p>
    <w:p w:rsidR="00A36537" w:rsidRPr="00A36537" w:rsidRDefault="00A36537" w:rsidP="00A36537">
      <w:pPr>
        <w:numPr>
          <w:ilvl w:val="0"/>
          <w:numId w:val="34"/>
        </w:numPr>
        <w:spacing w:before="100" w:beforeAutospacing="1" w:after="100" w:afterAutospacing="1"/>
        <w:rPr>
          <w:rFonts w:ascii="EHUSans" w:eastAsia="Times New Roman" w:hAnsi="EHUSans"/>
          <w:sz w:val="24"/>
          <w:szCs w:val="24"/>
          <w:lang w:eastAsia="es-ES"/>
        </w:rPr>
      </w:pPr>
      <w:r w:rsidRPr="00A36537">
        <w:rPr>
          <w:rFonts w:ascii="EHUSans" w:eastAsia="Times New Roman" w:hAnsi="EHUSans"/>
          <w:sz w:val="24"/>
          <w:szCs w:val="24"/>
          <w:lang w:eastAsia="es-ES"/>
        </w:rPr>
        <w:t>28 de enero</w:t>
      </w:r>
    </w:p>
    <w:p w:rsidR="00A36537" w:rsidRPr="00A36537" w:rsidRDefault="00A36537" w:rsidP="00A36537">
      <w:pPr>
        <w:spacing w:before="100" w:beforeAutospacing="1" w:after="100" w:afterAutospacing="1"/>
        <w:ind w:left="720"/>
        <w:outlineLvl w:val="3"/>
        <w:rPr>
          <w:rFonts w:ascii="EHUSans" w:eastAsia="Times New Roman" w:hAnsi="EHUSans"/>
          <w:b/>
          <w:bCs/>
          <w:sz w:val="24"/>
          <w:szCs w:val="24"/>
          <w:lang w:eastAsia="es-ES"/>
        </w:rPr>
      </w:pPr>
      <w:r w:rsidRPr="00A36537">
        <w:rPr>
          <w:rFonts w:ascii="EHUSans" w:eastAsia="Times New Roman" w:hAnsi="EHUSans"/>
          <w:b/>
          <w:bCs/>
          <w:sz w:val="24"/>
          <w:szCs w:val="24"/>
          <w:lang w:eastAsia="es-ES"/>
        </w:rPr>
        <w:t>Se activa el Mecanismo de Protección Civil de la Unión para la repatriación de ciudadanos de la UE</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 xml:space="preserve">A medida que el brote del nuevo coronavirus se intensifica, </w:t>
      </w:r>
      <w:hyperlink r:id="rId193" w:history="1">
        <w:r w:rsidRPr="00A36537">
          <w:rPr>
            <w:rFonts w:ascii="EHUSans" w:eastAsia="Times New Roman" w:hAnsi="EHUSans"/>
            <w:color w:val="0000FF"/>
            <w:sz w:val="24"/>
            <w:szCs w:val="24"/>
            <w:u w:val="single"/>
            <w:lang w:eastAsia="es-ES"/>
          </w:rPr>
          <w:t>se activa el Mecanismo de Protección Civil de la Unión</w:t>
        </w:r>
      </w:hyperlink>
      <w:r w:rsidRPr="00A36537">
        <w:rPr>
          <w:rFonts w:ascii="EHUSans" w:eastAsia="Times New Roman" w:hAnsi="EHUSans"/>
          <w:sz w:val="24"/>
          <w:szCs w:val="24"/>
          <w:lang w:eastAsia="es-ES"/>
        </w:rPr>
        <w:t xml:space="preserve"> a raíz de una solicitud de asistencia de Francia para prestar apoyo consular a los ciudadanos de la UE en Wuhan (China).</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sz w:val="24"/>
          <w:szCs w:val="24"/>
          <w:lang w:eastAsia="es-ES"/>
        </w:rPr>
        <w:t>Francia comunica el primer caso europeo el </w:t>
      </w:r>
      <w:r w:rsidRPr="00A36537">
        <w:rPr>
          <w:rFonts w:ascii="EHUSans" w:eastAsia="Times New Roman" w:hAnsi="EHUSans"/>
          <w:b/>
          <w:bCs/>
          <w:sz w:val="24"/>
          <w:szCs w:val="24"/>
          <w:lang w:eastAsia="es-ES"/>
        </w:rPr>
        <w:t>24 de enero de 2020</w:t>
      </w:r>
      <w:r w:rsidRPr="00A36537">
        <w:rPr>
          <w:rFonts w:ascii="EHUSans" w:eastAsia="Times New Roman" w:hAnsi="EHUSans"/>
          <w:sz w:val="24"/>
          <w:szCs w:val="24"/>
          <w:lang w:eastAsia="es-ES"/>
        </w:rPr>
        <w:t>.</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b/>
          <w:bCs/>
          <w:sz w:val="24"/>
          <w:szCs w:val="24"/>
          <w:lang w:eastAsia="es-ES"/>
        </w:rPr>
        <w:t>17 de enero</w:t>
      </w:r>
      <w:r w:rsidRPr="00A36537">
        <w:rPr>
          <w:rFonts w:ascii="EHUSans" w:eastAsia="Times New Roman" w:hAnsi="EHUSans"/>
          <w:sz w:val="24"/>
          <w:szCs w:val="24"/>
          <w:lang w:eastAsia="es-ES"/>
        </w:rPr>
        <w:t>: El Comité de Seguridad Sanitaria celebra su </w:t>
      </w:r>
      <w:hyperlink r:id="rId194" w:history="1">
        <w:r w:rsidRPr="00A36537">
          <w:rPr>
            <w:rFonts w:ascii="EHUSans" w:eastAsia="Times New Roman" w:hAnsi="EHUSans"/>
            <w:color w:val="0000FF"/>
            <w:sz w:val="24"/>
            <w:szCs w:val="24"/>
            <w:u w:val="single"/>
            <w:lang w:eastAsia="es-ES"/>
          </w:rPr>
          <w:t>primera reunión</w:t>
        </w:r>
      </w:hyperlink>
      <w:r w:rsidRPr="00A36537">
        <w:rPr>
          <w:rFonts w:ascii="EHUSans" w:eastAsia="Times New Roman" w:hAnsi="EHUSans"/>
          <w:sz w:val="24"/>
          <w:szCs w:val="24"/>
          <w:lang w:eastAsia="es-ES"/>
        </w:rPr>
        <w:t xml:space="preserve"> sobre el nuevo coronavirus.</w:t>
      </w:r>
    </w:p>
    <w:p w:rsidR="00A36537" w:rsidRPr="00A36537" w:rsidRDefault="00A36537" w:rsidP="00A36537">
      <w:pPr>
        <w:spacing w:before="100" w:beforeAutospacing="1" w:after="100" w:afterAutospacing="1"/>
        <w:ind w:left="720"/>
        <w:rPr>
          <w:rFonts w:ascii="EHUSans" w:eastAsia="Times New Roman" w:hAnsi="EHUSans"/>
          <w:sz w:val="24"/>
          <w:szCs w:val="24"/>
          <w:lang w:eastAsia="es-ES"/>
        </w:rPr>
      </w:pPr>
      <w:r w:rsidRPr="00A36537">
        <w:rPr>
          <w:rFonts w:ascii="EHUSans" w:eastAsia="Times New Roman" w:hAnsi="EHUSans"/>
          <w:b/>
          <w:bCs/>
          <w:sz w:val="24"/>
          <w:szCs w:val="24"/>
          <w:lang w:eastAsia="es-ES"/>
        </w:rPr>
        <w:t>9 de enero</w:t>
      </w:r>
      <w:r w:rsidRPr="00A36537">
        <w:rPr>
          <w:rFonts w:ascii="EHUSans" w:eastAsia="Times New Roman" w:hAnsi="EHUSans"/>
          <w:sz w:val="24"/>
          <w:szCs w:val="24"/>
          <w:lang w:eastAsia="es-ES"/>
        </w:rPr>
        <w:t>: La Dirección General de Salud y Seguridad Alimentaria abre una notificación de alerta en el Sistema de Alerta Precoz y Respuesta (SAPR), donde la mayoría de los Estados miembros comparten desde entonces información sobre las medidas de respuesta y comunicación.</w:t>
      </w:r>
    </w:p>
    <w:p w:rsidR="00015FD0" w:rsidRPr="00A36537" w:rsidRDefault="00015FD0">
      <w:pPr>
        <w:rPr>
          <w:rFonts w:ascii="EHUSans" w:hAnsi="EHUSans"/>
        </w:rPr>
      </w:pPr>
    </w:p>
    <w:sectPr w:rsidR="00015FD0" w:rsidRPr="00A365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89A"/>
    <w:multiLevelType w:val="multilevel"/>
    <w:tmpl w:val="F0E8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26486"/>
    <w:multiLevelType w:val="multilevel"/>
    <w:tmpl w:val="5992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92DCD"/>
    <w:multiLevelType w:val="multilevel"/>
    <w:tmpl w:val="ABE4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677F5"/>
    <w:multiLevelType w:val="multilevel"/>
    <w:tmpl w:val="8FB0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1065AE"/>
    <w:multiLevelType w:val="multilevel"/>
    <w:tmpl w:val="2EBC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C44F6"/>
    <w:multiLevelType w:val="multilevel"/>
    <w:tmpl w:val="8964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31C15"/>
    <w:multiLevelType w:val="multilevel"/>
    <w:tmpl w:val="FD28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32360A"/>
    <w:multiLevelType w:val="multilevel"/>
    <w:tmpl w:val="D332D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76557"/>
    <w:multiLevelType w:val="multilevel"/>
    <w:tmpl w:val="1842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F1BC8"/>
    <w:multiLevelType w:val="multilevel"/>
    <w:tmpl w:val="FA54E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F637F"/>
    <w:multiLevelType w:val="multilevel"/>
    <w:tmpl w:val="B11C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447F8"/>
    <w:multiLevelType w:val="multilevel"/>
    <w:tmpl w:val="7158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A70BB"/>
    <w:multiLevelType w:val="multilevel"/>
    <w:tmpl w:val="0480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96268D"/>
    <w:multiLevelType w:val="multilevel"/>
    <w:tmpl w:val="4C66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B06D5"/>
    <w:multiLevelType w:val="multilevel"/>
    <w:tmpl w:val="B42C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05088A"/>
    <w:multiLevelType w:val="multilevel"/>
    <w:tmpl w:val="B106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B5BD1"/>
    <w:multiLevelType w:val="multilevel"/>
    <w:tmpl w:val="2F4A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458AF"/>
    <w:multiLevelType w:val="multilevel"/>
    <w:tmpl w:val="0B2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00DA4"/>
    <w:multiLevelType w:val="multilevel"/>
    <w:tmpl w:val="0B3E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54446C"/>
    <w:multiLevelType w:val="multilevel"/>
    <w:tmpl w:val="3586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53762D"/>
    <w:multiLevelType w:val="multilevel"/>
    <w:tmpl w:val="CBF6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37ACC"/>
    <w:multiLevelType w:val="multilevel"/>
    <w:tmpl w:val="6B80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01622"/>
    <w:multiLevelType w:val="multilevel"/>
    <w:tmpl w:val="7F3E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8029C"/>
    <w:multiLevelType w:val="multilevel"/>
    <w:tmpl w:val="A212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B45B5B"/>
    <w:multiLevelType w:val="multilevel"/>
    <w:tmpl w:val="E8FE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E96A87"/>
    <w:multiLevelType w:val="multilevel"/>
    <w:tmpl w:val="0AF8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412B18"/>
    <w:multiLevelType w:val="multilevel"/>
    <w:tmpl w:val="03009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606D34"/>
    <w:multiLevelType w:val="multilevel"/>
    <w:tmpl w:val="62BE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117078"/>
    <w:multiLevelType w:val="multilevel"/>
    <w:tmpl w:val="D22CA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E7456B"/>
    <w:multiLevelType w:val="multilevel"/>
    <w:tmpl w:val="D4B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7826EA"/>
    <w:multiLevelType w:val="multilevel"/>
    <w:tmpl w:val="4B24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E640A"/>
    <w:multiLevelType w:val="multilevel"/>
    <w:tmpl w:val="43DC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0E2242"/>
    <w:multiLevelType w:val="multilevel"/>
    <w:tmpl w:val="CC0A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A646CF"/>
    <w:multiLevelType w:val="multilevel"/>
    <w:tmpl w:val="5F50F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20"/>
  </w:num>
  <w:num w:numId="4">
    <w:abstractNumId w:val="6"/>
  </w:num>
  <w:num w:numId="5">
    <w:abstractNumId w:val="8"/>
  </w:num>
  <w:num w:numId="6">
    <w:abstractNumId w:val="4"/>
  </w:num>
  <w:num w:numId="7">
    <w:abstractNumId w:val="23"/>
  </w:num>
  <w:num w:numId="8">
    <w:abstractNumId w:val="10"/>
  </w:num>
  <w:num w:numId="9">
    <w:abstractNumId w:val="12"/>
  </w:num>
  <w:num w:numId="10">
    <w:abstractNumId w:val="11"/>
  </w:num>
  <w:num w:numId="11">
    <w:abstractNumId w:val="30"/>
  </w:num>
  <w:num w:numId="12">
    <w:abstractNumId w:val="1"/>
  </w:num>
  <w:num w:numId="13">
    <w:abstractNumId w:val="28"/>
  </w:num>
  <w:num w:numId="14">
    <w:abstractNumId w:val="17"/>
  </w:num>
  <w:num w:numId="15">
    <w:abstractNumId w:val="32"/>
  </w:num>
  <w:num w:numId="16">
    <w:abstractNumId w:val="29"/>
  </w:num>
  <w:num w:numId="17">
    <w:abstractNumId w:val="5"/>
  </w:num>
  <w:num w:numId="18">
    <w:abstractNumId w:val="27"/>
  </w:num>
  <w:num w:numId="19">
    <w:abstractNumId w:val="15"/>
  </w:num>
  <w:num w:numId="20">
    <w:abstractNumId w:val="18"/>
  </w:num>
  <w:num w:numId="21">
    <w:abstractNumId w:val="14"/>
  </w:num>
  <w:num w:numId="22">
    <w:abstractNumId w:val="13"/>
  </w:num>
  <w:num w:numId="23">
    <w:abstractNumId w:val="33"/>
  </w:num>
  <w:num w:numId="24">
    <w:abstractNumId w:val="25"/>
  </w:num>
  <w:num w:numId="25">
    <w:abstractNumId w:val="22"/>
  </w:num>
  <w:num w:numId="26">
    <w:abstractNumId w:val="3"/>
  </w:num>
  <w:num w:numId="27">
    <w:abstractNumId w:val="24"/>
  </w:num>
  <w:num w:numId="28">
    <w:abstractNumId w:val="31"/>
  </w:num>
  <w:num w:numId="29">
    <w:abstractNumId w:val="21"/>
  </w:num>
  <w:num w:numId="30">
    <w:abstractNumId w:val="7"/>
  </w:num>
  <w:num w:numId="31">
    <w:abstractNumId w:val="9"/>
  </w:num>
  <w:num w:numId="32">
    <w:abstractNumId w:val="26"/>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37"/>
    <w:rsid w:val="00015FD0"/>
    <w:rsid w:val="00683AEB"/>
    <w:rsid w:val="006B3E15"/>
    <w:rsid w:val="00A36537"/>
    <w:rsid w:val="00B33016"/>
    <w:rsid w:val="00CF2E69"/>
    <w:rsid w:val="00D44F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EE535-4135-47A5-82A8-E246D490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nhideWhenUsed="1"/>
    <w:lsdException w:name="footer" w:semiHidden="1" w:unhideWhenUsed="1"/>
    <w:lsdException w:name="caption" w:semiHidden="1" w:unhideWhenUsed="1" w:qFormat="1"/>
    <w:lsdException w:name="footnote reference" w:semiHidden="1" w:unhideWhenUsed="1"/>
    <w:lsdException w:name="page number" w:semiHidden="1" w:unhideWhenUsed="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E69"/>
  </w:style>
  <w:style w:type="paragraph" w:styleId="Ttulo1">
    <w:name w:val="heading 1"/>
    <w:basedOn w:val="Ttulo3"/>
    <w:link w:val="Ttulo1Car"/>
    <w:uiPriority w:val="9"/>
    <w:qFormat/>
    <w:rsid w:val="00683AEB"/>
    <w:pPr>
      <w:keepNext w:val="0"/>
      <w:keepLines w:val="0"/>
      <w:widowControl w:val="0"/>
      <w:autoSpaceDE w:val="0"/>
      <w:autoSpaceDN w:val="0"/>
      <w:spacing w:before="63" w:after="360"/>
      <w:ind w:left="227"/>
      <w:jc w:val="center"/>
      <w:outlineLvl w:val="0"/>
    </w:pPr>
    <w:rPr>
      <w:rFonts w:eastAsia="Times New Roman" w:cs="Times New Roman"/>
      <w:b/>
      <w:i/>
      <w:color w:val="auto"/>
      <w:w w:val="105"/>
      <w:sz w:val="32"/>
      <w:szCs w:val="22"/>
    </w:rPr>
  </w:style>
  <w:style w:type="paragraph" w:styleId="Ttulo2">
    <w:name w:val="heading 2"/>
    <w:basedOn w:val="Ttulo4"/>
    <w:link w:val="Ttulo2Car"/>
    <w:uiPriority w:val="9"/>
    <w:qFormat/>
    <w:rsid w:val="00683AEB"/>
    <w:pPr>
      <w:keepNext w:val="0"/>
      <w:keepLines w:val="0"/>
      <w:widowControl w:val="0"/>
      <w:autoSpaceDE w:val="0"/>
      <w:autoSpaceDN w:val="0"/>
      <w:spacing w:before="82"/>
      <w:ind w:left="147"/>
      <w:jc w:val="both"/>
      <w:outlineLvl w:val="1"/>
    </w:pPr>
    <w:rPr>
      <w:rFonts w:ascii="Times New Roman" w:eastAsia="Times New Roman" w:hAnsi="Times New Roman" w:cs="Times New Roman"/>
      <w:i w:val="0"/>
      <w:iCs w:val="0"/>
      <w:color w:val="auto"/>
      <w:sz w:val="24"/>
      <w:szCs w:val="17"/>
    </w:rPr>
  </w:style>
  <w:style w:type="paragraph" w:styleId="Ttulo3">
    <w:name w:val="heading 3"/>
    <w:basedOn w:val="Normal"/>
    <w:next w:val="Normal"/>
    <w:link w:val="Ttulo3Car"/>
    <w:unhideWhenUsed/>
    <w:qFormat/>
    <w:rsid w:val="00CF2E69"/>
    <w:pPr>
      <w:keepNext/>
      <w:keepLines/>
      <w:spacing w:before="120" w:after="240"/>
      <w:contextualSpacing/>
      <w:outlineLvl w:val="2"/>
    </w:pPr>
    <w:rPr>
      <w:rFonts w:eastAsiaTheme="majorEastAsia" w:cstheme="majorBidi"/>
      <w:color w:val="000000" w:themeColor="text1"/>
      <w:sz w:val="24"/>
      <w:szCs w:val="24"/>
    </w:rPr>
  </w:style>
  <w:style w:type="paragraph" w:styleId="Ttulo4">
    <w:name w:val="heading 4"/>
    <w:basedOn w:val="Normal"/>
    <w:next w:val="Normal"/>
    <w:link w:val="Ttulo4Car"/>
    <w:uiPriority w:val="9"/>
    <w:unhideWhenUsed/>
    <w:qFormat/>
    <w:rsid w:val="00683AEB"/>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Ttulo4"/>
    <w:link w:val="Ttulo5Car"/>
    <w:uiPriority w:val="1"/>
    <w:qFormat/>
    <w:rsid w:val="00683AEB"/>
    <w:pPr>
      <w:keepNext w:val="0"/>
      <w:keepLines w:val="0"/>
      <w:widowControl w:val="0"/>
      <w:suppressAutoHyphens/>
      <w:autoSpaceDE w:val="0"/>
      <w:autoSpaceDN w:val="0"/>
      <w:spacing w:before="75"/>
      <w:ind w:left="221"/>
      <w:jc w:val="both"/>
      <w:outlineLvl w:val="4"/>
    </w:pPr>
    <w:rPr>
      <w:rFonts w:ascii="Times New Roman" w:eastAsia="Times New Roman" w:hAnsi="Times New Roman" w:cs="Times New Roman"/>
      <w:b/>
      <w:i w:val="0"/>
      <w:iCs w:val="0"/>
      <w:color w:val="auto"/>
      <w:w w:val="105"/>
      <w:sz w:val="22"/>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3AEB"/>
    <w:rPr>
      <w:rFonts w:eastAsia="Times New Roman"/>
      <w:b/>
      <w:i/>
      <w:w w:val="105"/>
      <w:sz w:val="32"/>
      <w:szCs w:val="22"/>
    </w:rPr>
  </w:style>
  <w:style w:type="character" w:customStyle="1" w:styleId="Ttulo2Car">
    <w:name w:val="Título 2 Car"/>
    <w:basedOn w:val="Fuentedeprrafopredeter"/>
    <w:link w:val="Ttulo2"/>
    <w:uiPriority w:val="9"/>
    <w:rsid w:val="00683AEB"/>
    <w:rPr>
      <w:rFonts w:eastAsia="Times New Roman"/>
      <w:sz w:val="24"/>
      <w:szCs w:val="17"/>
    </w:rPr>
  </w:style>
  <w:style w:type="paragraph" w:styleId="Textonotapie">
    <w:name w:val="footnote text"/>
    <w:basedOn w:val="Normal"/>
    <w:link w:val="TextonotapieCar"/>
    <w:semiHidden/>
    <w:rsid w:val="00CF2E69"/>
    <w:rPr>
      <w:rFonts w:eastAsia="Times New Roman"/>
    </w:rPr>
  </w:style>
  <w:style w:type="character" w:customStyle="1" w:styleId="TextonotapieCar">
    <w:name w:val="Texto nota pie Car"/>
    <w:basedOn w:val="Fuentedeprrafopredeter"/>
    <w:link w:val="Textonotapie"/>
    <w:semiHidden/>
    <w:rsid w:val="00CF2E69"/>
    <w:rPr>
      <w:rFonts w:ascii="Times New Roman" w:eastAsia="Times New Roman" w:hAnsi="Times New Roman" w:cs="Times New Roman"/>
      <w:color w:val="000000"/>
      <w:sz w:val="20"/>
      <w:szCs w:val="20"/>
      <w:lang w:eastAsia="es-ES"/>
    </w:rPr>
  </w:style>
  <w:style w:type="paragraph" w:styleId="Encabezado">
    <w:name w:val="header"/>
    <w:basedOn w:val="Normal"/>
    <w:link w:val="EncabezadoCar"/>
    <w:rsid w:val="00CF2E69"/>
    <w:pPr>
      <w:tabs>
        <w:tab w:val="center" w:pos="4252"/>
        <w:tab w:val="right" w:pos="8504"/>
      </w:tabs>
    </w:pPr>
    <w:rPr>
      <w:rFonts w:eastAsia="Times New Roman"/>
    </w:rPr>
  </w:style>
  <w:style w:type="character" w:customStyle="1" w:styleId="EncabezadoCar">
    <w:name w:val="Encabezado Car"/>
    <w:basedOn w:val="Fuentedeprrafopredeter"/>
    <w:link w:val="Encabezado"/>
    <w:rsid w:val="00CF2E69"/>
    <w:rPr>
      <w:rFonts w:ascii="Times New Roman" w:eastAsia="Times New Roman" w:hAnsi="Times New Roman" w:cs="Times New Roman"/>
      <w:color w:val="000000"/>
      <w:sz w:val="20"/>
      <w:szCs w:val="20"/>
      <w:lang w:eastAsia="es-ES"/>
    </w:rPr>
  </w:style>
  <w:style w:type="paragraph" w:styleId="Piedepgina">
    <w:name w:val="footer"/>
    <w:basedOn w:val="Normal"/>
    <w:link w:val="PiedepginaCar"/>
    <w:rsid w:val="00CF2E69"/>
    <w:pPr>
      <w:tabs>
        <w:tab w:val="center" w:pos="4252"/>
        <w:tab w:val="right" w:pos="8504"/>
      </w:tabs>
    </w:pPr>
    <w:rPr>
      <w:rFonts w:eastAsia="Times New Roman"/>
    </w:rPr>
  </w:style>
  <w:style w:type="character" w:customStyle="1" w:styleId="PiedepginaCar">
    <w:name w:val="Pie de página Car"/>
    <w:basedOn w:val="Fuentedeprrafopredeter"/>
    <w:link w:val="Piedepgina"/>
    <w:rsid w:val="00CF2E69"/>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semiHidden/>
    <w:rsid w:val="00CF2E69"/>
    <w:rPr>
      <w:rFonts w:ascii="Times New Roman" w:hAnsi="Times New Roman" w:hint="default"/>
      <w:strike w:val="0"/>
      <w:noProof/>
      <w:color w:val="000000"/>
      <w:spacing w:val="0"/>
      <w:sz w:val="20"/>
      <w:vertAlign w:val="superscript"/>
    </w:rPr>
  </w:style>
  <w:style w:type="character" w:styleId="Nmerodepgina">
    <w:name w:val="page number"/>
    <w:basedOn w:val="Fuentedeprrafopredeter"/>
    <w:rsid w:val="00CF2E69"/>
    <w:rPr>
      <w:rFonts w:ascii="Times New Roman" w:hAnsi="Times New Roman" w:hint="default"/>
      <w:strike w:val="0"/>
      <w:noProof/>
      <w:color w:val="000000"/>
      <w:spacing w:val="0"/>
      <w:sz w:val="20"/>
    </w:rPr>
  </w:style>
  <w:style w:type="character" w:styleId="Ttulodellibro">
    <w:name w:val="Book Title"/>
    <w:basedOn w:val="Fuentedeprrafopredeter"/>
    <w:uiPriority w:val="33"/>
    <w:qFormat/>
    <w:rsid w:val="00CF2E69"/>
    <w:rPr>
      <w:b/>
      <w:bCs/>
      <w:i/>
      <w:iCs/>
      <w:spacing w:val="5"/>
    </w:rPr>
  </w:style>
  <w:style w:type="character" w:customStyle="1" w:styleId="Ttulo3Car">
    <w:name w:val="Título 3 Car"/>
    <w:basedOn w:val="Fuentedeprrafopredeter"/>
    <w:link w:val="Ttulo3"/>
    <w:rsid w:val="00CF2E69"/>
    <w:rPr>
      <w:rFonts w:eastAsiaTheme="majorEastAsia" w:cstheme="majorBidi"/>
      <w:color w:val="000000" w:themeColor="text1"/>
      <w:sz w:val="24"/>
      <w:szCs w:val="24"/>
    </w:rPr>
  </w:style>
  <w:style w:type="character" w:customStyle="1" w:styleId="Ttulo4Car">
    <w:name w:val="Título 4 Car"/>
    <w:basedOn w:val="Fuentedeprrafopredeter"/>
    <w:link w:val="Ttulo4"/>
    <w:uiPriority w:val="9"/>
    <w:rsid w:val="00683AE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1"/>
    <w:rsid w:val="00683AEB"/>
    <w:rPr>
      <w:rFonts w:eastAsia="Times New Roman"/>
      <w:b/>
      <w:w w:val="105"/>
      <w:sz w:val="22"/>
      <w:szCs w:val="17"/>
    </w:rPr>
  </w:style>
  <w:style w:type="paragraph" w:customStyle="1" w:styleId="msonormal0">
    <w:name w:val="msonormal"/>
    <w:basedOn w:val="Normal"/>
    <w:rsid w:val="00A36537"/>
    <w:pPr>
      <w:spacing w:before="100" w:beforeAutospacing="1" w:after="100" w:afterAutospacing="1"/>
    </w:pPr>
    <w:rPr>
      <w:rFonts w:eastAsia="Times New Roman"/>
      <w:sz w:val="24"/>
      <w:szCs w:val="24"/>
      <w:lang w:eastAsia="es-ES"/>
    </w:rPr>
  </w:style>
  <w:style w:type="paragraph" w:styleId="NormalWeb">
    <w:name w:val="Normal (Web)"/>
    <w:basedOn w:val="Normal"/>
    <w:uiPriority w:val="99"/>
    <w:unhideWhenUsed/>
    <w:rsid w:val="00A36537"/>
    <w:pPr>
      <w:spacing w:before="100" w:beforeAutospacing="1" w:after="100" w:afterAutospacing="1"/>
    </w:pPr>
    <w:rPr>
      <w:rFonts w:eastAsia="Times New Roman"/>
      <w:sz w:val="24"/>
      <w:szCs w:val="24"/>
      <w:lang w:eastAsia="es-ES"/>
    </w:rPr>
  </w:style>
  <w:style w:type="character" w:styleId="Hipervnculo">
    <w:name w:val="Hyperlink"/>
    <w:basedOn w:val="Fuentedeprrafopredeter"/>
    <w:uiPriority w:val="99"/>
    <w:unhideWhenUsed/>
    <w:rsid w:val="00A36537"/>
    <w:rPr>
      <w:color w:val="0000FF"/>
      <w:u w:val="single"/>
    </w:rPr>
  </w:style>
  <w:style w:type="character" w:styleId="Hipervnculovisitado">
    <w:name w:val="FollowedHyperlink"/>
    <w:basedOn w:val="Fuentedeprrafopredeter"/>
    <w:uiPriority w:val="99"/>
    <w:unhideWhenUsed/>
    <w:rsid w:val="00A36537"/>
    <w:rPr>
      <w:color w:val="800080"/>
      <w:u w:val="single"/>
    </w:rPr>
  </w:style>
  <w:style w:type="character" w:styleId="nfasis">
    <w:name w:val="Emphasis"/>
    <w:basedOn w:val="Fuentedeprrafopredeter"/>
    <w:uiPriority w:val="20"/>
    <w:qFormat/>
    <w:rsid w:val="00A36537"/>
    <w:rPr>
      <w:i/>
      <w:iCs/>
    </w:rPr>
  </w:style>
  <w:style w:type="character" w:styleId="Textoennegrita">
    <w:name w:val="Strong"/>
    <w:basedOn w:val="Fuentedeprrafopredeter"/>
    <w:uiPriority w:val="22"/>
    <w:qFormat/>
    <w:rsid w:val="00A36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83717">
      <w:bodyDiv w:val="1"/>
      <w:marLeft w:val="0"/>
      <w:marRight w:val="0"/>
      <w:marTop w:val="0"/>
      <w:marBottom w:val="0"/>
      <w:divBdr>
        <w:top w:val="none" w:sz="0" w:space="0" w:color="auto"/>
        <w:left w:val="none" w:sz="0" w:space="0" w:color="auto"/>
        <w:bottom w:val="none" w:sz="0" w:space="0" w:color="auto"/>
        <w:right w:val="none" w:sz="0" w:space="0" w:color="auto"/>
      </w:divBdr>
      <w:divsChild>
        <w:div w:id="1393889654">
          <w:marLeft w:val="0"/>
          <w:marRight w:val="0"/>
          <w:marTop w:val="0"/>
          <w:marBottom w:val="0"/>
          <w:divBdr>
            <w:top w:val="none" w:sz="0" w:space="0" w:color="auto"/>
            <w:left w:val="none" w:sz="0" w:space="0" w:color="auto"/>
            <w:bottom w:val="none" w:sz="0" w:space="0" w:color="auto"/>
            <w:right w:val="none" w:sz="0" w:space="0" w:color="auto"/>
          </w:divBdr>
          <w:divsChild>
            <w:div w:id="588848843">
              <w:marLeft w:val="0"/>
              <w:marRight w:val="0"/>
              <w:marTop w:val="0"/>
              <w:marBottom w:val="0"/>
              <w:divBdr>
                <w:top w:val="none" w:sz="0" w:space="0" w:color="auto"/>
                <w:left w:val="none" w:sz="0" w:space="0" w:color="auto"/>
                <w:bottom w:val="none" w:sz="0" w:space="0" w:color="auto"/>
                <w:right w:val="none" w:sz="0" w:space="0" w:color="auto"/>
              </w:divBdr>
              <w:divsChild>
                <w:div w:id="627246945">
                  <w:marLeft w:val="0"/>
                  <w:marRight w:val="0"/>
                  <w:marTop w:val="0"/>
                  <w:marBottom w:val="0"/>
                  <w:divBdr>
                    <w:top w:val="none" w:sz="0" w:space="0" w:color="auto"/>
                    <w:left w:val="none" w:sz="0" w:space="0" w:color="auto"/>
                    <w:bottom w:val="none" w:sz="0" w:space="0" w:color="auto"/>
                    <w:right w:val="none" w:sz="0" w:space="0" w:color="auto"/>
                  </w:divBdr>
                  <w:divsChild>
                    <w:div w:id="988938928">
                      <w:marLeft w:val="0"/>
                      <w:marRight w:val="0"/>
                      <w:marTop w:val="0"/>
                      <w:marBottom w:val="0"/>
                      <w:divBdr>
                        <w:top w:val="none" w:sz="0" w:space="0" w:color="auto"/>
                        <w:left w:val="none" w:sz="0" w:space="0" w:color="auto"/>
                        <w:bottom w:val="none" w:sz="0" w:space="0" w:color="auto"/>
                        <w:right w:val="none" w:sz="0" w:space="0" w:color="auto"/>
                      </w:divBdr>
                      <w:divsChild>
                        <w:div w:id="273366569">
                          <w:marLeft w:val="0"/>
                          <w:marRight w:val="0"/>
                          <w:marTop w:val="0"/>
                          <w:marBottom w:val="0"/>
                          <w:divBdr>
                            <w:top w:val="none" w:sz="0" w:space="0" w:color="auto"/>
                            <w:left w:val="none" w:sz="0" w:space="0" w:color="auto"/>
                            <w:bottom w:val="none" w:sz="0" w:space="0" w:color="auto"/>
                            <w:right w:val="none" w:sz="0" w:space="0" w:color="auto"/>
                          </w:divBdr>
                          <w:divsChild>
                            <w:div w:id="1212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980812">
          <w:marLeft w:val="0"/>
          <w:marRight w:val="0"/>
          <w:marTop w:val="0"/>
          <w:marBottom w:val="0"/>
          <w:divBdr>
            <w:top w:val="none" w:sz="0" w:space="0" w:color="auto"/>
            <w:left w:val="none" w:sz="0" w:space="0" w:color="auto"/>
            <w:bottom w:val="none" w:sz="0" w:space="0" w:color="auto"/>
            <w:right w:val="none" w:sz="0" w:space="0" w:color="auto"/>
          </w:divBdr>
          <w:divsChild>
            <w:div w:id="808087523">
              <w:marLeft w:val="0"/>
              <w:marRight w:val="0"/>
              <w:marTop w:val="0"/>
              <w:marBottom w:val="0"/>
              <w:divBdr>
                <w:top w:val="none" w:sz="0" w:space="0" w:color="auto"/>
                <w:left w:val="none" w:sz="0" w:space="0" w:color="auto"/>
                <w:bottom w:val="none" w:sz="0" w:space="0" w:color="auto"/>
                <w:right w:val="none" w:sz="0" w:space="0" w:color="auto"/>
              </w:divBdr>
              <w:divsChild>
                <w:div w:id="708724001">
                  <w:marLeft w:val="0"/>
                  <w:marRight w:val="0"/>
                  <w:marTop w:val="0"/>
                  <w:marBottom w:val="0"/>
                  <w:divBdr>
                    <w:top w:val="none" w:sz="0" w:space="0" w:color="auto"/>
                    <w:left w:val="none" w:sz="0" w:space="0" w:color="auto"/>
                    <w:bottom w:val="none" w:sz="0" w:space="0" w:color="auto"/>
                    <w:right w:val="none" w:sz="0" w:space="0" w:color="auto"/>
                  </w:divBdr>
                  <w:divsChild>
                    <w:div w:id="411971668">
                      <w:marLeft w:val="0"/>
                      <w:marRight w:val="0"/>
                      <w:marTop w:val="0"/>
                      <w:marBottom w:val="0"/>
                      <w:divBdr>
                        <w:top w:val="none" w:sz="0" w:space="0" w:color="auto"/>
                        <w:left w:val="none" w:sz="0" w:space="0" w:color="auto"/>
                        <w:bottom w:val="none" w:sz="0" w:space="0" w:color="auto"/>
                        <w:right w:val="none" w:sz="0" w:space="0" w:color="auto"/>
                      </w:divBdr>
                      <w:divsChild>
                        <w:div w:id="1346904374">
                          <w:marLeft w:val="0"/>
                          <w:marRight w:val="0"/>
                          <w:marTop w:val="0"/>
                          <w:marBottom w:val="0"/>
                          <w:divBdr>
                            <w:top w:val="none" w:sz="0" w:space="0" w:color="auto"/>
                            <w:left w:val="none" w:sz="0" w:space="0" w:color="auto"/>
                            <w:bottom w:val="none" w:sz="0" w:space="0" w:color="auto"/>
                            <w:right w:val="none" w:sz="0" w:space="0" w:color="auto"/>
                          </w:divBdr>
                          <w:divsChild>
                            <w:div w:id="537356648">
                              <w:marLeft w:val="0"/>
                              <w:marRight w:val="0"/>
                              <w:marTop w:val="0"/>
                              <w:marBottom w:val="0"/>
                              <w:divBdr>
                                <w:top w:val="none" w:sz="0" w:space="0" w:color="auto"/>
                                <w:left w:val="none" w:sz="0" w:space="0" w:color="auto"/>
                                <w:bottom w:val="none" w:sz="0" w:space="0" w:color="auto"/>
                                <w:right w:val="none" w:sz="0" w:space="0" w:color="auto"/>
                              </w:divBdr>
                              <w:divsChild>
                                <w:div w:id="148682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59248">
      <w:bodyDiv w:val="1"/>
      <w:marLeft w:val="0"/>
      <w:marRight w:val="0"/>
      <w:marTop w:val="0"/>
      <w:marBottom w:val="0"/>
      <w:divBdr>
        <w:top w:val="none" w:sz="0" w:space="0" w:color="auto"/>
        <w:left w:val="none" w:sz="0" w:space="0" w:color="auto"/>
        <w:bottom w:val="none" w:sz="0" w:space="0" w:color="auto"/>
        <w:right w:val="none" w:sz="0" w:space="0" w:color="auto"/>
      </w:divBdr>
      <w:divsChild>
        <w:div w:id="133959613">
          <w:marLeft w:val="0"/>
          <w:marRight w:val="0"/>
          <w:marTop w:val="0"/>
          <w:marBottom w:val="0"/>
          <w:divBdr>
            <w:top w:val="none" w:sz="0" w:space="0" w:color="auto"/>
            <w:left w:val="none" w:sz="0" w:space="0" w:color="auto"/>
            <w:bottom w:val="none" w:sz="0" w:space="0" w:color="auto"/>
            <w:right w:val="none" w:sz="0" w:space="0" w:color="auto"/>
          </w:divBdr>
          <w:divsChild>
            <w:div w:id="2140877341">
              <w:marLeft w:val="0"/>
              <w:marRight w:val="0"/>
              <w:marTop w:val="0"/>
              <w:marBottom w:val="0"/>
              <w:divBdr>
                <w:top w:val="none" w:sz="0" w:space="0" w:color="auto"/>
                <w:left w:val="none" w:sz="0" w:space="0" w:color="auto"/>
                <w:bottom w:val="none" w:sz="0" w:space="0" w:color="auto"/>
                <w:right w:val="none" w:sz="0" w:space="0" w:color="auto"/>
              </w:divBdr>
            </w:div>
          </w:divsChild>
        </w:div>
        <w:div w:id="204176627">
          <w:marLeft w:val="0"/>
          <w:marRight w:val="0"/>
          <w:marTop w:val="0"/>
          <w:marBottom w:val="0"/>
          <w:divBdr>
            <w:top w:val="none" w:sz="0" w:space="0" w:color="auto"/>
            <w:left w:val="none" w:sz="0" w:space="0" w:color="auto"/>
            <w:bottom w:val="none" w:sz="0" w:space="0" w:color="auto"/>
            <w:right w:val="none" w:sz="0" w:space="0" w:color="auto"/>
          </w:divBdr>
          <w:divsChild>
            <w:div w:id="2016181608">
              <w:marLeft w:val="0"/>
              <w:marRight w:val="0"/>
              <w:marTop w:val="0"/>
              <w:marBottom w:val="0"/>
              <w:divBdr>
                <w:top w:val="none" w:sz="0" w:space="0" w:color="auto"/>
                <w:left w:val="none" w:sz="0" w:space="0" w:color="auto"/>
                <w:bottom w:val="none" w:sz="0" w:space="0" w:color="auto"/>
                <w:right w:val="none" w:sz="0" w:space="0" w:color="auto"/>
              </w:divBdr>
            </w:div>
            <w:div w:id="636840134">
              <w:marLeft w:val="0"/>
              <w:marRight w:val="0"/>
              <w:marTop w:val="0"/>
              <w:marBottom w:val="0"/>
              <w:divBdr>
                <w:top w:val="none" w:sz="0" w:space="0" w:color="auto"/>
                <w:left w:val="none" w:sz="0" w:space="0" w:color="auto"/>
                <w:bottom w:val="none" w:sz="0" w:space="0" w:color="auto"/>
                <w:right w:val="none" w:sz="0" w:space="0" w:color="auto"/>
              </w:divBdr>
            </w:div>
          </w:divsChild>
        </w:div>
        <w:div w:id="361780974">
          <w:marLeft w:val="0"/>
          <w:marRight w:val="0"/>
          <w:marTop w:val="0"/>
          <w:marBottom w:val="0"/>
          <w:divBdr>
            <w:top w:val="none" w:sz="0" w:space="0" w:color="auto"/>
            <w:left w:val="none" w:sz="0" w:space="0" w:color="auto"/>
            <w:bottom w:val="none" w:sz="0" w:space="0" w:color="auto"/>
            <w:right w:val="none" w:sz="0" w:space="0" w:color="auto"/>
          </w:divBdr>
          <w:divsChild>
            <w:div w:id="317850071">
              <w:marLeft w:val="0"/>
              <w:marRight w:val="0"/>
              <w:marTop w:val="0"/>
              <w:marBottom w:val="0"/>
              <w:divBdr>
                <w:top w:val="none" w:sz="0" w:space="0" w:color="auto"/>
                <w:left w:val="none" w:sz="0" w:space="0" w:color="auto"/>
                <w:bottom w:val="none" w:sz="0" w:space="0" w:color="auto"/>
                <w:right w:val="none" w:sz="0" w:space="0" w:color="auto"/>
              </w:divBdr>
            </w:div>
          </w:divsChild>
        </w:div>
        <w:div w:id="531501256">
          <w:marLeft w:val="0"/>
          <w:marRight w:val="0"/>
          <w:marTop w:val="0"/>
          <w:marBottom w:val="0"/>
          <w:divBdr>
            <w:top w:val="none" w:sz="0" w:space="0" w:color="auto"/>
            <w:left w:val="none" w:sz="0" w:space="0" w:color="auto"/>
            <w:bottom w:val="none" w:sz="0" w:space="0" w:color="auto"/>
            <w:right w:val="none" w:sz="0" w:space="0" w:color="auto"/>
          </w:divBdr>
          <w:divsChild>
            <w:div w:id="1706055934">
              <w:marLeft w:val="0"/>
              <w:marRight w:val="0"/>
              <w:marTop w:val="0"/>
              <w:marBottom w:val="0"/>
              <w:divBdr>
                <w:top w:val="none" w:sz="0" w:space="0" w:color="auto"/>
                <w:left w:val="none" w:sz="0" w:space="0" w:color="auto"/>
                <w:bottom w:val="none" w:sz="0" w:space="0" w:color="auto"/>
                <w:right w:val="none" w:sz="0" w:space="0" w:color="auto"/>
              </w:divBdr>
            </w:div>
            <w:div w:id="776676220">
              <w:marLeft w:val="0"/>
              <w:marRight w:val="0"/>
              <w:marTop w:val="0"/>
              <w:marBottom w:val="0"/>
              <w:divBdr>
                <w:top w:val="none" w:sz="0" w:space="0" w:color="auto"/>
                <w:left w:val="none" w:sz="0" w:space="0" w:color="auto"/>
                <w:bottom w:val="none" w:sz="0" w:space="0" w:color="auto"/>
                <w:right w:val="none" w:sz="0" w:space="0" w:color="auto"/>
              </w:divBdr>
            </w:div>
            <w:div w:id="1610432985">
              <w:marLeft w:val="0"/>
              <w:marRight w:val="0"/>
              <w:marTop w:val="0"/>
              <w:marBottom w:val="0"/>
              <w:divBdr>
                <w:top w:val="none" w:sz="0" w:space="0" w:color="auto"/>
                <w:left w:val="none" w:sz="0" w:space="0" w:color="auto"/>
                <w:bottom w:val="none" w:sz="0" w:space="0" w:color="auto"/>
                <w:right w:val="none" w:sz="0" w:space="0" w:color="auto"/>
              </w:divBdr>
            </w:div>
            <w:div w:id="905602808">
              <w:marLeft w:val="0"/>
              <w:marRight w:val="0"/>
              <w:marTop w:val="0"/>
              <w:marBottom w:val="0"/>
              <w:divBdr>
                <w:top w:val="none" w:sz="0" w:space="0" w:color="auto"/>
                <w:left w:val="none" w:sz="0" w:space="0" w:color="auto"/>
                <w:bottom w:val="none" w:sz="0" w:space="0" w:color="auto"/>
                <w:right w:val="none" w:sz="0" w:space="0" w:color="auto"/>
              </w:divBdr>
            </w:div>
            <w:div w:id="1728454636">
              <w:marLeft w:val="0"/>
              <w:marRight w:val="0"/>
              <w:marTop w:val="0"/>
              <w:marBottom w:val="0"/>
              <w:divBdr>
                <w:top w:val="none" w:sz="0" w:space="0" w:color="auto"/>
                <w:left w:val="none" w:sz="0" w:space="0" w:color="auto"/>
                <w:bottom w:val="none" w:sz="0" w:space="0" w:color="auto"/>
                <w:right w:val="none" w:sz="0" w:space="0" w:color="auto"/>
              </w:divBdr>
            </w:div>
            <w:div w:id="808087502">
              <w:marLeft w:val="0"/>
              <w:marRight w:val="0"/>
              <w:marTop w:val="0"/>
              <w:marBottom w:val="0"/>
              <w:divBdr>
                <w:top w:val="none" w:sz="0" w:space="0" w:color="auto"/>
                <w:left w:val="none" w:sz="0" w:space="0" w:color="auto"/>
                <w:bottom w:val="none" w:sz="0" w:space="0" w:color="auto"/>
                <w:right w:val="none" w:sz="0" w:space="0" w:color="auto"/>
              </w:divBdr>
            </w:div>
            <w:div w:id="1323241208">
              <w:marLeft w:val="0"/>
              <w:marRight w:val="0"/>
              <w:marTop w:val="0"/>
              <w:marBottom w:val="0"/>
              <w:divBdr>
                <w:top w:val="none" w:sz="0" w:space="0" w:color="auto"/>
                <w:left w:val="none" w:sz="0" w:space="0" w:color="auto"/>
                <w:bottom w:val="none" w:sz="0" w:space="0" w:color="auto"/>
                <w:right w:val="none" w:sz="0" w:space="0" w:color="auto"/>
              </w:divBdr>
            </w:div>
            <w:div w:id="1540167859">
              <w:marLeft w:val="0"/>
              <w:marRight w:val="0"/>
              <w:marTop w:val="0"/>
              <w:marBottom w:val="0"/>
              <w:divBdr>
                <w:top w:val="none" w:sz="0" w:space="0" w:color="auto"/>
                <w:left w:val="none" w:sz="0" w:space="0" w:color="auto"/>
                <w:bottom w:val="none" w:sz="0" w:space="0" w:color="auto"/>
                <w:right w:val="none" w:sz="0" w:space="0" w:color="auto"/>
              </w:divBdr>
            </w:div>
          </w:divsChild>
        </w:div>
        <w:div w:id="189999102">
          <w:marLeft w:val="0"/>
          <w:marRight w:val="0"/>
          <w:marTop w:val="0"/>
          <w:marBottom w:val="0"/>
          <w:divBdr>
            <w:top w:val="none" w:sz="0" w:space="0" w:color="auto"/>
            <w:left w:val="none" w:sz="0" w:space="0" w:color="auto"/>
            <w:bottom w:val="none" w:sz="0" w:space="0" w:color="auto"/>
            <w:right w:val="none" w:sz="0" w:space="0" w:color="auto"/>
          </w:divBdr>
          <w:divsChild>
            <w:div w:id="1511916808">
              <w:marLeft w:val="0"/>
              <w:marRight w:val="0"/>
              <w:marTop w:val="0"/>
              <w:marBottom w:val="0"/>
              <w:divBdr>
                <w:top w:val="none" w:sz="0" w:space="0" w:color="auto"/>
                <w:left w:val="none" w:sz="0" w:space="0" w:color="auto"/>
                <w:bottom w:val="none" w:sz="0" w:space="0" w:color="auto"/>
                <w:right w:val="none" w:sz="0" w:space="0" w:color="auto"/>
              </w:divBdr>
            </w:div>
          </w:divsChild>
        </w:div>
        <w:div w:id="320475119">
          <w:marLeft w:val="0"/>
          <w:marRight w:val="0"/>
          <w:marTop w:val="0"/>
          <w:marBottom w:val="0"/>
          <w:divBdr>
            <w:top w:val="none" w:sz="0" w:space="0" w:color="auto"/>
            <w:left w:val="none" w:sz="0" w:space="0" w:color="auto"/>
            <w:bottom w:val="none" w:sz="0" w:space="0" w:color="auto"/>
            <w:right w:val="none" w:sz="0" w:space="0" w:color="auto"/>
          </w:divBdr>
          <w:divsChild>
            <w:div w:id="615721658">
              <w:marLeft w:val="0"/>
              <w:marRight w:val="0"/>
              <w:marTop w:val="0"/>
              <w:marBottom w:val="0"/>
              <w:divBdr>
                <w:top w:val="none" w:sz="0" w:space="0" w:color="auto"/>
                <w:left w:val="none" w:sz="0" w:space="0" w:color="auto"/>
                <w:bottom w:val="none" w:sz="0" w:space="0" w:color="auto"/>
                <w:right w:val="none" w:sz="0" w:space="0" w:color="auto"/>
              </w:divBdr>
            </w:div>
            <w:div w:id="714354668">
              <w:marLeft w:val="0"/>
              <w:marRight w:val="0"/>
              <w:marTop w:val="0"/>
              <w:marBottom w:val="0"/>
              <w:divBdr>
                <w:top w:val="none" w:sz="0" w:space="0" w:color="auto"/>
                <w:left w:val="none" w:sz="0" w:space="0" w:color="auto"/>
                <w:bottom w:val="none" w:sz="0" w:space="0" w:color="auto"/>
                <w:right w:val="none" w:sz="0" w:space="0" w:color="auto"/>
              </w:divBdr>
            </w:div>
          </w:divsChild>
        </w:div>
        <w:div w:id="562252442">
          <w:marLeft w:val="0"/>
          <w:marRight w:val="0"/>
          <w:marTop w:val="0"/>
          <w:marBottom w:val="0"/>
          <w:divBdr>
            <w:top w:val="none" w:sz="0" w:space="0" w:color="auto"/>
            <w:left w:val="none" w:sz="0" w:space="0" w:color="auto"/>
            <w:bottom w:val="none" w:sz="0" w:space="0" w:color="auto"/>
            <w:right w:val="none" w:sz="0" w:space="0" w:color="auto"/>
          </w:divBdr>
          <w:divsChild>
            <w:div w:id="1353149241">
              <w:marLeft w:val="0"/>
              <w:marRight w:val="0"/>
              <w:marTop w:val="0"/>
              <w:marBottom w:val="0"/>
              <w:divBdr>
                <w:top w:val="none" w:sz="0" w:space="0" w:color="auto"/>
                <w:left w:val="none" w:sz="0" w:space="0" w:color="auto"/>
                <w:bottom w:val="none" w:sz="0" w:space="0" w:color="auto"/>
                <w:right w:val="none" w:sz="0" w:space="0" w:color="auto"/>
              </w:divBdr>
            </w:div>
          </w:divsChild>
        </w:div>
        <w:div w:id="1054230502">
          <w:marLeft w:val="0"/>
          <w:marRight w:val="0"/>
          <w:marTop w:val="0"/>
          <w:marBottom w:val="0"/>
          <w:divBdr>
            <w:top w:val="none" w:sz="0" w:space="0" w:color="auto"/>
            <w:left w:val="none" w:sz="0" w:space="0" w:color="auto"/>
            <w:bottom w:val="none" w:sz="0" w:space="0" w:color="auto"/>
            <w:right w:val="none" w:sz="0" w:space="0" w:color="auto"/>
          </w:divBdr>
          <w:divsChild>
            <w:div w:id="1976635945">
              <w:marLeft w:val="0"/>
              <w:marRight w:val="0"/>
              <w:marTop w:val="0"/>
              <w:marBottom w:val="0"/>
              <w:divBdr>
                <w:top w:val="none" w:sz="0" w:space="0" w:color="auto"/>
                <w:left w:val="none" w:sz="0" w:space="0" w:color="auto"/>
                <w:bottom w:val="none" w:sz="0" w:space="0" w:color="auto"/>
                <w:right w:val="none" w:sz="0" w:space="0" w:color="auto"/>
              </w:divBdr>
            </w:div>
            <w:div w:id="991254149">
              <w:marLeft w:val="0"/>
              <w:marRight w:val="0"/>
              <w:marTop w:val="0"/>
              <w:marBottom w:val="0"/>
              <w:divBdr>
                <w:top w:val="none" w:sz="0" w:space="0" w:color="auto"/>
                <w:left w:val="none" w:sz="0" w:space="0" w:color="auto"/>
                <w:bottom w:val="none" w:sz="0" w:space="0" w:color="auto"/>
                <w:right w:val="none" w:sz="0" w:space="0" w:color="auto"/>
              </w:divBdr>
            </w:div>
          </w:divsChild>
        </w:div>
        <w:div w:id="1625690097">
          <w:marLeft w:val="0"/>
          <w:marRight w:val="0"/>
          <w:marTop w:val="0"/>
          <w:marBottom w:val="0"/>
          <w:divBdr>
            <w:top w:val="none" w:sz="0" w:space="0" w:color="auto"/>
            <w:left w:val="none" w:sz="0" w:space="0" w:color="auto"/>
            <w:bottom w:val="none" w:sz="0" w:space="0" w:color="auto"/>
            <w:right w:val="none" w:sz="0" w:space="0" w:color="auto"/>
          </w:divBdr>
          <w:divsChild>
            <w:div w:id="1883858320">
              <w:marLeft w:val="0"/>
              <w:marRight w:val="0"/>
              <w:marTop w:val="0"/>
              <w:marBottom w:val="0"/>
              <w:divBdr>
                <w:top w:val="none" w:sz="0" w:space="0" w:color="auto"/>
                <w:left w:val="none" w:sz="0" w:space="0" w:color="auto"/>
                <w:bottom w:val="none" w:sz="0" w:space="0" w:color="auto"/>
                <w:right w:val="none" w:sz="0" w:space="0" w:color="auto"/>
              </w:divBdr>
            </w:div>
          </w:divsChild>
        </w:div>
        <w:div w:id="1261645457">
          <w:marLeft w:val="0"/>
          <w:marRight w:val="0"/>
          <w:marTop w:val="0"/>
          <w:marBottom w:val="0"/>
          <w:divBdr>
            <w:top w:val="none" w:sz="0" w:space="0" w:color="auto"/>
            <w:left w:val="none" w:sz="0" w:space="0" w:color="auto"/>
            <w:bottom w:val="none" w:sz="0" w:space="0" w:color="auto"/>
            <w:right w:val="none" w:sz="0" w:space="0" w:color="auto"/>
          </w:divBdr>
          <w:divsChild>
            <w:div w:id="743844791">
              <w:marLeft w:val="0"/>
              <w:marRight w:val="0"/>
              <w:marTop w:val="0"/>
              <w:marBottom w:val="0"/>
              <w:divBdr>
                <w:top w:val="none" w:sz="0" w:space="0" w:color="auto"/>
                <w:left w:val="none" w:sz="0" w:space="0" w:color="auto"/>
                <w:bottom w:val="none" w:sz="0" w:space="0" w:color="auto"/>
                <w:right w:val="none" w:sz="0" w:space="0" w:color="auto"/>
              </w:divBdr>
            </w:div>
            <w:div w:id="826482917">
              <w:marLeft w:val="0"/>
              <w:marRight w:val="0"/>
              <w:marTop w:val="0"/>
              <w:marBottom w:val="0"/>
              <w:divBdr>
                <w:top w:val="none" w:sz="0" w:space="0" w:color="auto"/>
                <w:left w:val="none" w:sz="0" w:space="0" w:color="auto"/>
                <w:bottom w:val="none" w:sz="0" w:space="0" w:color="auto"/>
                <w:right w:val="none" w:sz="0" w:space="0" w:color="auto"/>
              </w:divBdr>
            </w:div>
            <w:div w:id="19742830">
              <w:marLeft w:val="0"/>
              <w:marRight w:val="0"/>
              <w:marTop w:val="0"/>
              <w:marBottom w:val="0"/>
              <w:divBdr>
                <w:top w:val="none" w:sz="0" w:space="0" w:color="auto"/>
                <w:left w:val="none" w:sz="0" w:space="0" w:color="auto"/>
                <w:bottom w:val="none" w:sz="0" w:space="0" w:color="auto"/>
                <w:right w:val="none" w:sz="0" w:space="0" w:color="auto"/>
              </w:divBdr>
            </w:div>
            <w:div w:id="1560357758">
              <w:marLeft w:val="0"/>
              <w:marRight w:val="0"/>
              <w:marTop w:val="0"/>
              <w:marBottom w:val="0"/>
              <w:divBdr>
                <w:top w:val="none" w:sz="0" w:space="0" w:color="auto"/>
                <w:left w:val="none" w:sz="0" w:space="0" w:color="auto"/>
                <w:bottom w:val="none" w:sz="0" w:space="0" w:color="auto"/>
                <w:right w:val="none" w:sz="0" w:space="0" w:color="auto"/>
              </w:divBdr>
            </w:div>
            <w:div w:id="140344528">
              <w:marLeft w:val="0"/>
              <w:marRight w:val="0"/>
              <w:marTop w:val="0"/>
              <w:marBottom w:val="0"/>
              <w:divBdr>
                <w:top w:val="none" w:sz="0" w:space="0" w:color="auto"/>
                <w:left w:val="none" w:sz="0" w:space="0" w:color="auto"/>
                <w:bottom w:val="none" w:sz="0" w:space="0" w:color="auto"/>
                <w:right w:val="none" w:sz="0" w:space="0" w:color="auto"/>
              </w:divBdr>
            </w:div>
            <w:div w:id="1513183197">
              <w:marLeft w:val="0"/>
              <w:marRight w:val="0"/>
              <w:marTop w:val="0"/>
              <w:marBottom w:val="0"/>
              <w:divBdr>
                <w:top w:val="none" w:sz="0" w:space="0" w:color="auto"/>
                <w:left w:val="none" w:sz="0" w:space="0" w:color="auto"/>
                <w:bottom w:val="none" w:sz="0" w:space="0" w:color="auto"/>
                <w:right w:val="none" w:sz="0" w:space="0" w:color="auto"/>
              </w:divBdr>
            </w:div>
          </w:divsChild>
        </w:div>
        <w:div w:id="705331052">
          <w:marLeft w:val="0"/>
          <w:marRight w:val="0"/>
          <w:marTop w:val="0"/>
          <w:marBottom w:val="0"/>
          <w:divBdr>
            <w:top w:val="none" w:sz="0" w:space="0" w:color="auto"/>
            <w:left w:val="none" w:sz="0" w:space="0" w:color="auto"/>
            <w:bottom w:val="none" w:sz="0" w:space="0" w:color="auto"/>
            <w:right w:val="none" w:sz="0" w:space="0" w:color="auto"/>
          </w:divBdr>
          <w:divsChild>
            <w:div w:id="313796091">
              <w:marLeft w:val="0"/>
              <w:marRight w:val="0"/>
              <w:marTop w:val="0"/>
              <w:marBottom w:val="0"/>
              <w:divBdr>
                <w:top w:val="none" w:sz="0" w:space="0" w:color="auto"/>
                <w:left w:val="none" w:sz="0" w:space="0" w:color="auto"/>
                <w:bottom w:val="none" w:sz="0" w:space="0" w:color="auto"/>
                <w:right w:val="none" w:sz="0" w:space="0" w:color="auto"/>
              </w:divBdr>
            </w:div>
          </w:divsChild>
        </w:div>
        <w:div w:id="21514990">
          <w:marLeft w:val="0"/>
          <w:marRight w:val="0"/>
          <w:marTop w:val="0"/>
          <w:marBottom w:val="0"/>
          <w:divBdr>
            <w:top w:val="none" w:sz="0" w:space="0" w:color="auto"/>
            <w:left w:val="none" w:sz="0" w:space="0" w:color="auto"/>
            <w:bottom w:val="none" w:sz="0" w:space="0" w:color="auto"/>
            <w:right w:val="none" w:sz="0" w:space="0" w:color="auto"/>
          </w:divBdr>
          <w:divsChild>
            <w:div w:id="1996101822">
              <w:marLeft w:val="0"/>
              <w:marRight w:val="0"/>
              <w:marTop w:val="0"/>
              <w:marBottom w:val="0"/>
              <w:divBdr>
                <w:top w:val="none" w:sz="0" w:space="0" w:color="auto"/>
                <w:left w:val="none" w:sz="0" w:space="0" w:color="auto"/>
                <w:bottom w:val="none" w:sz="0" w:space="0" w:color="auto"/>
                <w:right w:val="none" w:sz="0" w:space="0" w:color="auto"/>
              </w:divBdr>
            </w:div>
            <w:div w:id="1340542118">
              <w:marLeft w:val="0"/>
              <w:marRight w:val="0"/>
              <w:marTop w:val="0"/>
              <w:marBottom w:val="0"/>
              <w:divBdr>
                <w:top w:val="none" w:sz="0" w:space="0" w:color="auto"/>
                <w:left w:val="none" w:sz="0" w:space="0" w:color="auto"/>
                <w:bottom w:val="none" w:sz="0" w:space="0" w:color="auto"/>
                <w:right w:val="none" w:sz="0" w:space="0" w:color="auto"/>
              </w:divBdr>
            </w:div>
            <w:div w:id="1251353370">
              <w:marLeft w:val="0"/>
              <w:marRight w:val="0"/>
              <w:marTop w:val="0"/>
              <w:marBottom w:val="0"/>
              <w:divBdr>
                <w:top w:val="none" w:sz="0" w:space="0" w:color="auto"/>
                <w:left w:val="none" w:sz="0" w:space="0" w:color="auto"/>
                <w:bottom w:val="none" w:sz="0" w:space="0" w:color="auto"/>
                <w:right w:val="none" w:sz="0" w:space="0" w:color="auto"/>
              </w:divBdr>
            </w:div>
            <w:div w:id="726300130">
              <w:marLeft w:val="0"/>
              <w:marRight w:val="0"/>
              <w:marTop w:val="0"/>
              <w:marBottom w:val="0"/>
              <w:divBdr>
                <w:top w:val="none" w:sz="0" w:space="0" w:color="auto"/>
                <w:left w:val="none" w:sz="0" w:space="0" w:color="auto"/>
                <w:bottom w:val="none" w:sz="0" w:space="0" w:color="auto"/>
                <w:right w:val="none" w:sz="0" w:space="0" w:color="auto"/>
              </w:divBdr>
            </w:div>
          </w:divsChild>
        </w:div>
        <w:div w:id="1240217673">
          <w:marLeft w:val="0"/>
          <w:marRight w:val="0"/>
          <w:marTop w:val="0"/>
          <w:marBottom w:val="0"/>
          <w:divBdr>
            <w:top w:val="none" w:sz="0" w:space="0" w:color="auto"/>
            <w:left w:val="none" w:sz="0" w:space="0" w:color="auto"/>
            <w:bottom w:val="none" w:sz="0" w:space="0" w:color="auto"/>
            <w:right w:val="none" w:sz="0" w:space="0" w:color="auto"/>
          </w:divBdr>
          <w:divsChild>
            <w:div w:id="1003438387">
              <w:marLeft w:val="0"/>
              <w:marRight w:val="0"/>
              <w:marTop w:val="0"/>
              <w:marBottom w:val="0"/>
              <w:divBdr>
                <w:top w:val="none" w:sz="0" w:space="0" w:color="auto"/>
                <w:left w:val="none" w:sz="0" w:space="0" w:color="auto"/>
                <w:bottom w:val="none" w:sz="0" w:space="0" w:color="auto"/>
                <w:right w:val="none" w:sz="0" w:space="0" w:color="auto"/>
              </w:divBdr>
            </w:div>
          </w:divsChild>
        </w:div>
        <w:div w:id="1718117550">
          <w:marLeft w:val="0"/>
          <w:marRight w:val="0"/>
          <w:marTop w:val="0"/>
          <w:marBottom w:val="0"/>
          <w:divBdr>
            <w:top w:val="none" w:sz="0" w:space="0" w:color="auto"/>
            <w:left w:val="none" w:sz="0" w:space="0" w:color="auto"/>
            <w:bottom w:val="none" w:sz="0" w:space="0" w:color="auto"/>
            <w:right w:val="none" w:sz="0" w:space="0" w:color="auto"/>
          </w:divBdr>
          <w:divsChild>
            <w:div w:id="207493222">
              <w:marLeft w:val="0"/>
              <w:marRight w:val="0"/>
              <w:marTop w:val="0"/>
              <w:marBottom w:val="0"/>
              <w:divBdr>
                <w:top w:val="none" w:sz="0" w:space="0" w:color="auto"/>
                <w:left w:val="none" w:sz="0" w:space="0" w:color="auto"/>
                <w:bottom w:val="none" w:sz="0" w:space="0" w:color="auto"/>
                <w:right w:val="none" w:sz="0" w:space="0" w:color="auto"/>
              </w:divBdr>
            </w:div>
            <w:div w:id="2098549532">
              <w:marLeft w:val="0"/>
              <w:marRight w:val="0"/>
              <w:marTop w:val="0"/>
              <w:marBottom w:val="0"/>
              <w:divBdr>
                <w:top w:val="none" w:sz="0" w:space="0" w:color="auto"/>
                <w:left w:val="none" w:sz="0" w:space="0" w:color="auto"/>
                <w:bottom w:val="none" w:sz="0" w:space="0" w:color="auto"/>
                <w:right w:val="none" w:sz="0" w:space="0" w:color="auto"/>
              </w:divBdr>
            </w:div>
            <w:div w:id="1775247944">
              <w:marLeft w:val="0"/>
              <w:marRight w:val="0"/>
              <w:marTop w:val="0"/>
              <w:marBottom w:val="0"/>
              <w:divBdr>
                <w:top w:val="none" w:sz="0" w:space="0" w:color="auto"/>
                <w:left w:val="none" w:sz="0" w:space="0" w:color="auto"/>
                <w:bottom w:val="none" w:sz="0" w:space="0" w:color="auto"/>
                <w:right w:val="none" w:sz="0" w:space="0" w:color="auto"/>
              </w:divBdr>
            </w:div>
            <w:div w:id="855003588">
              <w:marLeft w:val="0"/>
              <w:marRight w:val="0"/>
              <w:marTop w:val="0"/>
              <w:marBottom w:val="0"/>
              <w:divBdr>
                <w:top w:val="none" w:sz="0" w:space="0" w:color="auto"/>
                <w:left w:val="none" w:sz="0" w:space="0" w:color="auto"/>
                <w:bottom w:val="none" w:sz="0" w:space="0" w:color="auto"/>
                <w:right w:val="none" w:sz="0" w:space="0" w:color="auto"/>
              </w:divBdr>
            </w:div>
          </w:divsChild>
        </w:div>
        <w:div w:id="391731748">
          <w:marLeft w:val="0"/>
          <w:marRight w:val="0"/>
          <w:marTop w:val="0"/>
          <w:marBottom w:val="0"/>
          <w:divBdr>
            <w:top w:val="none" w:sz="0" w:space="0" w:color="auto"/>
            <w:left w:val="none" w:sz="0" w:space="0" w:color="auto"/>
            <w:bottom w:val="none" w:sz="0" w:space="0" w:color="auto"/>
            <w:right w:val="none" w:sz="0" w:space="0" w:color="auto"/>
          </w:divBdr>
          <w:divsChild>
            <w:div w:id="489029739">
              <w:marLeft w:val="0"/>
              <w:marRight w:val="0"/>
              <w:marTop w:val="0"/>
              <w:marBottom w:val="0"/>
              <w:divBdr>
                <w:top w:val="none" w:sz="0" w:space="0" w:color="auto"/>
                <w:left w:val="none" w:sz="0" w:space="0" w:color="auto"/>
                <w:bottom w:val="none" w:sz="0" w:space="0" w:color="auto"/>
                <w:right w:val="none" w:sz="0" w:space="0" w:color="auto"/>
              </w:divBdr>
            </w:div>
          </w:divsChild>
        </w:div>
        <w:div w:id="1286698438">
          <w:marLeft w:val="0"/>
          <w:marRight w:val="0"/>
          <w:marTop w:val="0"/>
          <w:marBottom w:val="0"/>
          <w:divBdr>
            <w:top w:val="none" w:sz="0" w:space="0" w:color="auto"/>
            <w:left w:val="none" w:sz="0" w:space="0" w:color="auto"/>
            <w:bottom w:val="none" w:sz="0" w:space="0" w:color="auto"/>
            <w:right w:val="none" w:sz="0" w:space="0" w:color="auto"/>
          </w:divBdr>
          <w:divsChild>
            <w:div w:id="1357271106">
              <w:marLeft w:val="0"/>
              <w:marRight w:val="0"/>
              <w:marTop w:val="0"/>
              <w:marBottom w:val="0"/>
              <w:divBdr>
                <w:top w:val="none" w:sz="0" w:space="0" w:color="auto"/>
                <w:left w:val="none" w:sz="0" w:space="0" w:color="auto"/>
                <w:bottom w:val="none" w:sz="0" w:space="0" w:color="auto"/>
                <w:right w:val="none" w:sz="0" w:space="0" w:color="auto"/>
              </w:divBdr>
            </w:div>
            <w:div w:id="422649304">
              <w:marLeft w:val="0"/>
              <w:marRight w:val="0"/>
              <w:marTop w:val="0"/>
              <w:marBottom w:val="0"/>
              <w:divBdr>
                <w:top w:val="none" w:sz="0" w:space="0" w:color="auto"/>
                <w:left w:val="none" w:sz="0" w:space="0" w:color="auto"/>
                <w:bottom w:val="none" w:sz="0" w:space="0" w:color="auto"/>
                <w:right w:val="none" w:sz="0" w:space="0" w:color="auto"/>
              </w:divBdr>
            </w:div>
            <w:div w:id="2082633198">
              <w:marLeft w:val="0"/>
              <w:marRight w:val="0"/>
              <w:marTop w:val="0"/>
              <w:marBottom w:val="0"/>
              <w:divBdr>
                <w:top w:val="none" w:sz="0" w:space="0" w:color="auto"/>
                <w:left w:val="none" w:sz="0" w:space="0" w:color="auto"/>
                <w:bottom w:val="none" w:sz="0" w:space="0" w:color="auto"/>
                <w:right w:val="none" w:sz="0" w:space="0" w:color="auto"/>
              </w:divBdr>
            </w:div>
            <w:div w:id="1287196308">
              <w:marLeft w:val="0"/>
              <w:marRight w:val="0"/>
              <w:marTop w:val="0"/>
              <w:marBottom w:val="0"/>
              <w:divBdr>
                <w:top w:val="none" w:sz="0" w:space="0" w:color="auto"/>
                <w:left w:val="none" w:sz="0" w:space="0" w:color="auto"/>
                <w:bottom w:val="none" w:sz="0" w:space="0" w:color="auto"/>
                <w:right w:val="none" w:sz="0" w:space="0" w:color="auto"/>
              </w:divBdr>
            </w:div>
            <w:div w:id="1215198826">
              <w:marLeft w:val="0"/>
              <w:marRight w:val="0"/>
              <w:marTop w:val="0"/>
              <w:marBottom w:val="0"/>
              <w:divBdr>
                <w:top w:val="none" w:sz="0" w:space="0" w:color="auto"/>
                <w:left w:val="none" w:sz="0" w:space="0" w:color="auto"/>
                <w:bottom w:val="none" w:sz="0" w:space="0" w:color="auto"/>
                <w:right w:val="none" w:sz="0" w:space="0" w:color="auto"/>
              </w:divBdr>
            </w:div>
            <w:div w:id="1809132537">
              <w:marLeft w:val="0"/>
              <w:marRight w:val="0"/>
              <w:marTop w:val="0"/>
              <w:marBottom w:val="0"/>
              <w:divBdr>
                <w:top w:val="none" w:sz="0" w:space="0" w:color="auto"/>
                <w:left w:val="none" w:sz="0" w:space="0" w:color="auto"/>
                <w:bottom w:val="none" w:sz="0" w:space="0" w:color="auto"/>
                <w:right w:val="none" w:sz="0" w:space="0" w:color="auto"/>
              </w:divBdr>
            </w:div>
            <w:div w:id="380639304">
              <w:marLeft w:val="0"/>
              <w:marRight w:val="0"/>
              <w:marTop w:val="0"/>
              <w:marBottom w:val="0"/>
              <w:divBdr>
                <w:top w:val="none" w:sz="0" w:space="0" w:color="auto"/>
                <w:left w:val="none" w:sz="0" w:space="0" w:color="auto"/>
                <w:bottom w:val="none" w:sz="0" w:space="0" w:color="auto"/>
                <w:right w:val="none" w:sz="0" w:space="0" w:color="auto"/>
              </w:divBdr>
            </w:div>
            <w:div w:id="201410100">
              <w:marLeft w:val="0"/>
              <w:marRight w:val="0"/>
              <w:marTop w:val="0"/>
              <w:marBottom w:val="0"/>
              <w:divBdr>
                <w:top w:val="none" w:sz="0" w:space="0" w:color="auto"/>
                <w:left w:val="none" w:sz="0" w:space="0" w:color="auto"/>
                <w:bottom w:val="none" w:sz="0" w:space="0" w:color="auto"/>
                <w:right w:val="none" w:sz="0" w:space="0" w:color="auto"/>
              </w:divBdr>
            </w:div>
          </w:divsChild>
        </w:div>
        <w:div w:id="734007719">
          <w:marLeft w:val="0"/>
          <w:marRight w:val="0"/>
          <w:marTop w:val="0"/>
          <w:marBottom w:val="0"/>
          <w:divBdr>
            <w:top w:val="none" w:sz="0" w:space="0" w:color="auto"/>
            <w:left w:val="none" w:sz="0" w:space="0" w:color="auto"/>
            <w:bottom w:val="none" w:sz="0" w:space="0" w:color="auto"/>
            <w:right w:val="none" w:sz="0" w:space="0" w:color="auto"/>
          </w:divBdr>
          <w:divsChild>
            <w:div w:id="1221557985">
              <w:marLeft w:val="0"/>
              <w:marRight w:val="0"/>
              <w:marTop w:val="0"/>
              <w:marBottom w:val="0"/>
              <w:divBdr>
                <w:top w:val="none" w:sz="0" w:space="0" w:color="auto"/>
                <w:left w:val="none" w:sz="0" w:space="0" w:color="auto"/>
                <w:bottom w:val="none" w:sz="0" w:space="0" w:color="auto"/>
                <w:right w:val="none" w:sz="0" w:space="0" w:color="auto"/>
              </w:divBdr>
            </w:div>
          </w:divsChild>
        </w:div>
        <w:div w:id="1798180550">
          <w:marLeft w:val="0"/>
          <w:marRight w:val="0"/>
          <w:marTop w:val="0"/>
          <w:marBottom w:val="0"/>
          <w:divBdr>
            <w:top w:val="none" w:sz="0" w:space="0" w:color="auto"/>
            <w:left w:val="none" w:sz="0" w:space="0" w:color="auto"/>
            <w:bottom w:val="none" w:sz="0" w:space="0" w:color="auto"/>
            <w:right w:val="none" w:sz="0" w:space="0" w:color="auto"/>
          </w:divBdr>
          <w:divsChild>
            <w:div w:id="315694821">
              <w:marLeft w:val="0"/>
              <w:marRight w:val="0"/>
              <w:marTop w:val="0"/>
              <w:marBottom w:val="0"/>
              <w:divBdr>
                <w:top w:val="none" w:sz="0" w:space="0" w:color="auto"/>
                <w:left w:val="none" w:sz="0" w:space="0" w:color="auto"/>
                <w:bottom w:val="none" w:sz="0" w:space="0" w:color="auto"/>
                <w:right w:val="none" w:sz="0" w:space="0" w:color="auto"/>
              </w:divBdr>
            </w:div>
            <w:div w:id="956375954">
              <w:marLeft w:val="0"/>
              <w:marRight w:val="0"/>
              <w:marTop w:val="0"/>
              <w:marBottom w:val="0"/>
              <w:divBdr>
                <w:top w:val="none" w:sz="0" w:space="0" w:color="auto"/>
                <w:left w:val="none" w:sz="0" w:space="0" w:color="auto"/>
                <w:bottom w:val="none" w:sz="0" w:space="0" w:color="auto"/>
                <w:right w:val="none" w:sz="0" w:space="0" w:color="auto"/>
              </w:divBdr>
            </w:div>
            <w:div w:id="687872605">
              <w:marLeft w:val="0"/>
              <w:marRight w:val="0"/>
              <w:marTop w:val="0"/>
              <w:marBottom w:val="0"/>
              <w:divBdr>
                <w:top w:val="none" w:sz="0" w:space="0" w:color="auto"/>
                <w:left w:val="none" w:sz="0" w:space="0" w:color="auto"/>
                <w:bottom w:val="none" w:sz="0" w:space="0" w:color="auto"/>
                <w:right w:val="none" w:sz="0" w:space="0" w:color="auto"/>
              </w:divBdr>
            </w:div>
            <w:div w:id="2046055183">
              <w:marLeft w:val="0"/>
              <w:marRight w:val="0"/>
              <w:marTop w:val="0"/>
              <w:marBottom w:val="0"/>
              <w:divBdr>
                <w:top w:val="none" w:sz="0" w:space="0" w:color="auto"/>
                <w:left w:val="none" w:sz="0" w:space="0" w:color="auto"/>
                <w:bottom w:val="none" w:sz="0" w:space="0" w:color="auto"/>
                <w:right w:val="none" w:sz="0" w:space="0" w:color="auto"/>
              </w:divBdr>
            </w:div>
            <w:div w:id="109672515">
              <w:marLeft w:val="0"/>
              <w:marRight w:val="0"/>
              <w:marTop w:val="0"/>
              <w:marBottom w:val="0"/>
              <w:divBdr>
                <w:top w:val="none" w:sz="0" w:space="0" w:color="auto"/>
                <w:left w:val="none" w:sz="0" w:space="0" w:color="auto"/>
                <w:bottom w:val="none" w:sz="0" w:space="0" w:color="auto"/>
                <w:right w:val="none" w:sz="0" w:space="0" w:color="auto"/>
              </w:divBdr>
            </w:div>
            <w:div w:id="1371227527">
              <w:marLeft w:val="0"/>
              <w:marRight w:val="0"/>
              <w:marTop w:val="0"/>
              <w:marBottom w:val="0"/>
              <w:divBdr>
                <w:top w:val="none" w:sz="0" w:space="0" w:color="auto"/>
                <w:left w:val="none" w:sz="0" w:space="0" w:color="auto"/>
                <w:bottom w:val="none" w:sz="0" w:space="0" w:color="auto"/>
                <w:right w:val="none" w:sz="0" w:space="0" w:color="auto"/>
              </w:divBdr>
            </w:div>
          </w:divsChild>
        </w:div>
        <w:div w:id="2135707224">
          <w:marLeft w:val="0"/>
          <w:marRight w:val="0"/>
          <w:marTop w:val="0"/>
          <w:marBottom w:val="0"/>
          <w:divBdr>
            <w:top w:val="none" w:sz="0" w:space="0" w:color="auto"/>
            <w:left w:val="none" w:sz="0" w:space="0" w:color="auto"/>
            <w:bottom w:val="none" w:sz="0" w:space="0" w:color="auto"/>
            <w:right w:val="none" w:sz="0" w:space="0" w:color="auto"/>
          </w:divBdr>
          <w:divsChild>
            <w:div w:id="1197425715">
              <w:marLeft w:val="0"/>
              <w:marRight w:val="0"/>
              <w:marTop w:val="0"/>
              <w:marBottom w:val="0"/>
              <w:divBdr>
                <w:top w:val="none" w:sz="0" w:space="0" w:color="auto"/>
                <w:left w:val="none" w:sz="0" w:space="0" w:color="auto"/>
                <w:bottom w:val="none" w:sz="0" w:space="0" w:color="auto"/>
                <w:right w:val="none" w:sz="0" w:space="0" w:color="auto"/>
              </w:divBdr>
            </w:div>
          </w:divsChild>
        </w:div>
        <w:div w:id="1493375734">
          <w:marLeft w:val="0"/>
          <w:marRight w:val="0"/>
          <w:marTop w:val="0"/>
          <w:marBottom w:val="0"/>
          <w:divBdr>
            <w:top w:val="none" w:sz="0" w:space="0" w:color="auto"/>
            <w:left w:val="none" w:sz="0" w:space="0" w:color="auto"/>
            <w:bottom w:val="none" w:sz="0" w:space="0" w:color="auto"/>
            <w:right w:val="none" w:sz="0" w:space="0" w:color="auto"/>
          </w:divBdr>
          <w:divsChild>
            <w:div w:id="1264847882">
              <w:marLeft w:val="0"/>
              <w:marRight w:val="0"/>
              <w:marTop w:val="0"/>
              <w:marBottom w:val="0"/>
              <w:divBdr>
                <w:top w:val="none" w:sz="0" w:space="0" w:color="auto"/>
                <w:left w:val="none" w:sz="0" w:space="0" w:color="auto"/>
                <w:bottom w:val="none" w:sz="0" w:space="0" w:color="auto"/>
                <w:right w:val="none" w:sz="0" w:space="0" w:color="auto"/>
              </w:divBdr>
            </w:div>
            <w:div w:id="1443836841">
              <w:marLeft w:val="0"/>
              <w:marRight w:val="0"/>
              <w:marTop w:val="0"/>
              <w:marBottom w:val="0"/>
              <w:divBdr>
                <w:top w:val="none" w:sz="0" w:space="0" w:color="auto"/>
                <w:left w:val="none" w:sz="0" w:space="0" w:color="auto"/>
                <w:bottom w:val="none" w:sz="0" w:space="0" w:color="auto"/>
                <w:right w:val="none" w:sz="0" w:space="0" w:color="auto"/>
              </w:divBdr>
            </w:div>
            <w:div w:id="1747536561">
              <w:marLeft w:val="0"/>
              <w:marRight w:val="0"/>
              <w:marTop w:val="0"/>
              <w:marBottom w:val="0"/>
              <w:divBdr>
                <w:top w:val="none" w:sz="0" w:space="0" w:color="auto"/>
                <w:left w:val="none" w:sz="0" w:space="0" w:color="auto"/>
                <w:bottom w:val="none" w:sz="0" w:space="0" w:color="auto"/>
                <w:right w:val="none" w:sz="0" w:space="0" w:color="auto"/>
              </w:divBdr>
            </w:div>
            <w:div w:id="197814792">
              <w:marLeft w:val="0"/>
              <w:marRight w:val="0"/>
              <w:marTop w:val="0"/>
              <w:marBottom w:val="0"/>
              <w:divBdr>
                <w:top w:val="none" w:sz="0" w:space="0" w:color="auto"/>
                <w:left w:val="none" w:sz="0" w:space="0" w:color="auto"/>
                <w:bottom w:val="none" w:sz="0" w:space="0" w:color="auto"/>
                <w:right w:val="none" w:sz="0" w:space="0" w:color="auto"/>
              </w:divBdr>
            </w:div>
          </w:divsChild>
        </w:div>
        <w:div w:id="1853253112">
          <w:marLeft w:val="0"/>
          <w:marRight w:val="0"/>
          <w:marTop w:val="0"/>
          <w:marBottom w:val="0"/>
          <w:divBdr>
            <w:top w:val="none" w:sz="0" w:space="0" w:color="auto"/>
            <w:left w:val="none" w:sz="0" w:space="0" w:color="auto"/>
            <w:bottom w:val="none" w:sz="0" w:space="0" w:color="auto"/>
            <w:right w:val="none" w:sz="0" w:space="0" w:color="auto"/>
          </w:divBdr>
          <w:divsChild>
            <w:div w:id="1299069188">
              <w:marLeft w:val="0"/>
              <w:marRight w:val="0"/>
              <w:marTop w:val="0"/>
              <w:marBottom w:val="0"/>
              <w:divBdr>
                <w:top w:val="none" w:sz="0" w:space="0" w:color="auto"/>
                <w:left w:val="none" w:sz="0" w:space="0" w:color="auto"/>
                <w:bottom w:val="none" w:sz="0" w:space="0" w:color="auto"/>
                <w:right w:val="none" w:sz="0" w:space="0" w:color="auto"/>
              </w:divBdr>
            </w:div>
          </w:divsChild>
        </w:div>
        <w:div w:id="892160532">
          <w:marLeft w:val="0"/>
          <w:marRight w:val="0"/>
          <w:marTop w:val="0"/>
          <w:marBottom w:val="0"/>
          <w:divBdr>
            <w:top w:val="none" w:sz="0" w:space="0" w:color="auto"/>
            <w:left w:val="none" w:sz="0" w:space="0" w:color="auto"/>
            <w:bottom w:val="none" w:sz="0" w:space="0" w:color="auto"/>
            <w:right w:val="none" w:sz="0" w:space="0" w:color="auto"/>
          </w:divBdr>
          <w:divsChild>
            <w:div w:id="19092561">
              <w:marLeft w:val="0"/>
              <w:marRight w:val="0"/>
              <w:marTop w:val="0"/>
              <w:marBottom w:val="0"/>
              <w:divBdr>
                <w:top w:val="none" w:sz="0" w:space="0" w:color="auto"/>
                <w:left w:val="none" w:sz="0" w:space="0" w:color="auto"/>
                <w:bottom w:val="none" w:sz="0" w:space="0" w:color="auto"/>
                <w:right w:val="none" w:sz="0" w:space="0" w:color="auto"/>
              </w:divBdr>
            </w:div>
            <w:div w:id="1128400851">
              <w:marLeft w:val="0"/>
              <w:marRight w:val="0"/>
              <w:marTop w:val="0"/>
              <w:marBottom w:val="0"/>
              <w:divBdr>
                <w:top w:val="none" w:sz="0" w:space="0" w:color="auto"/>
                <w:left w:val="none" w:sz="0" w:space="0" w:color="auto"/>
                <w:bottom w:val="none" w:sz="0" w:space="0" w:color="auto"/>
                <w:right w:val="none" w:sz="0" w:space="0" w:color="auto"/>
              </w:divBdr>
            </w:div>
            <w:div w:id="649553844">
              <w:marLeft w:val="0"/>
              <w:marRight w:val="0"/>
              <w:marTop w:val="0"/>
              <w:marBottom w:val="0"/>
              <w:divBdr>
                <w:top w:val="none" w:sz="0" w:space="0" w:color="auto"/>
                <w:left w:val="none" w:sz="0" w:space="0" w:color="auto"/>
                <w:bottom w:val="none" w:sz="0" w:space="0" w:color="auto"/>
                <w:right w:val="none" w:sz="0" w:space="0" w:color="auto"/>
              </w:divBdr>
            </w:div>
            <w:div w:id="239220287">
              <w:marLeft w:val="0"/>
              <w:marRight w:val="0"/>
              <w:marTop w:val="0"/>
              <w:marBottom w:val="0"/>
              <w:divBdr>
                <w:top w:val="none" w:sz="0" w:space="0" w:color="auto"/>
                <w:left w:val="none" w:sz="0" w:space="0" w:color="auto"/>
                <w:bottom w:val="none" w:sz="0" w:space="0" w:color="auto"/>
                <w:right w:val="none" w:sz="0" w:space="0" w:color="auto"/>
              </w:divBdr>
            </w:div>
          </w:divsChild>
        </w:div>
        <w:div w:id="994141021">
          <w:marLeft w:val="0"/>
          <w:marRight w:val="0"/>
          <w:marTop w:val="0"/>
          <w:marBottom w:val="0"/>
          <w:divBdr>
            <w:top w:val="none" w:sz="0" w:space="0" w:color="auto"/>
            <w:left w:val="none" w:sz="0" w:space="0" w:color="auto"/>
            <w:bottom w:val="none" w:sz="0" w:space="0" w:color="auto"/>
            <w:right w:val="none" w:sz="0" w:space="0" w:color="auto"/>
          </w:divBdr>
          <w:divsChild>
            <w:div w:id="198318267">
              <w:marLeft w:val="0"/>
              <w:marRight w:val="0"/>
              <w:marTop w:val="0"/>
              <w:marBottom w:val="0"/>
              <w:divBdr>
                <w:top w:val="none" w:sz="0" w:space="0" w:color="auto"/>
                <w:left w:val="none" w:sz="0" w:space="0" w:color="auto"/>
                <w:bottom w:val="none" w:sz="0" w:space="0" w:color="auto"/>
                <w:right w:val="none" w:sz="0" w:space="0" w:color="auto"/>
              </w:divBdr>
            </w:div>
          </w:divsChild>
        </w:div>
        <w:div w:id="131604000">
          <w:marLeft w:val="0"/>
          <w:marRight w:val="0"/>
          <w:marTop w:val="0"/>
          <w:marBottom w:val="0"/>
          <w:divBdr>
            <w:top w:val="none" w:sz="0" w:space="0" w:color="auto"/>
            <w:left w:val="none" w:sz="0" w:space="0" w:color="auto"/>
            <w:bottom w:val="none" w:sz="0" w:space="0" w:color="auto"/>
            <w:right w:val="none" w:sz="0" w:space="0" w:color="auto"/>
          </w:divBdr>
          <w:divsChild>
            <w:div w:id="1772049973">
              <w:marLeft w:val="0"/>
              <w:marRight w:val="0"/>
              <w:marTop w:val="0"/>
              <w:marBottom w:val="0"/>
              <w:divBdr>
                <w:top w:val="none" w:sz="0" w:space="0" w:color="auto"/>
                <w:left w:val="none" w:sz="0" w:space="0" w:color="auto"/>
                <w:bottom w:val="none" w:sz="0" w:space="0" w:color="auto"/>
                <w:right w:val="none" w:sz="0" w:space="0" w:color="auto"/>
              </w:divBdr>
            </w:div>
            <w:div w:id="1418863345">
              <w:marLeft w:val="0"/>
              <w:marRight w:val="0"/>
              <w:marTop w:val="0"/>
              <w:marBottom w:val="0"/>
              <w:divBdr>
                <w:top w:val="none" w:sz="0" w:space="0" w:color="auto"/>
                <w:left w:val="none" w:sz="0" w:space="0" w:color="auto"/>
                <w:bottom w:val="none" w:sz="0" w:space="0" w:color="auto"/>
                <w:right w:val="none" w:sz="0" w:space="0" w:color="auto"/>
              </w:divBdr>
            </w:div>
            <w:div w:id="475613018">
              <w:marLeft w:val="0"/>
              <w:marRight w:val="0"/>
              <w:marTop w:val="0"/>
              <w:marBottom w:val="0"/>
              <w:divBdr>
                <w:top w:val="none" w:sz="0" w:space="0" w:color="auto"/>
                <w:left w:val="none" w:sz="0" w:space="0" w:color="auto"/>
                <w:bottom w:val="none" w:sz="0" w:space="0" w:color="auto"/>
                <w:right w:val="none" w:sz="0" w:space="0" w:color="auto"/>
              </w:divBdr>
            </w:div>
            <w:div w:id="1811939675">
              <w:marLeft w:val="0"/>
              <w:marRight w:val="0"/>
              <w:marTop w:val="0"/>
              <w:marBottom w:val="0"/>
              <w:divBdr>
                <w:top w:val="none" w:sz="0" w:space="0" w:color="auto"/>
                <w:left w:val="none" w:sz="0" w:space="0" w:color="auto"/>
                <w:bottom w:val="none" w:sz="0" w:space="0" w:color="auto"/>
                <w:right w:val="none" w:sz="0" w:space="0" w:color="auto"/>
              </w:divBdr>
            </w:div>
            <w:div w:id="101924834">
              <w:marLeft w:val="0"/>
              <w:marRight w:val="0"/>
              <w:marTop w:val="0"/>
              <w:marBottom w:val="0"/>
              <w:divBdr>
                <w:top w:val="none" w:sz="0" w:space="0" w:color="auto"/>
                <w:left w:val="none" w:sz="0" w:space="0" w:color="auto"/>
                <w:bottom w:val="none" w:sz="0" w:space="0" w:color="auto"/>
                <w:right w:val="none" w:sz="0" w:space="0" w:color="auto"/>
              </w:divBdr>
            </w:div>
            <w:div w:id="1546716027">
              <w:marLeft w:val="0"/>
              <w:marRight w:val="0"/>
              <w:marTop w:val="0"/>
              <w:marBottom w:val="0"/>
              <w:divBdr>
                <w:top w:val="none" w:sz="0" w:space="0" w:color="auto"/>
                <w:left w:val="none" w:sz="0" w:space="0" w:color="auto"/>
                <w:bottom w:val="none" w:sz="0" w:space="0" w:color="auto"/>
                <w:right w:val="none" w:sz="0" w:space="0" w:color="auto"/>
              </w:divBdr>
            </w:div>
            <w:div w:id="444815669">
              <w:marLeft w:val="0"/>
              <w:marRight w:val="0"/>
              <w:marTop w:val="0"/>
              <w:marBottom w:val="0"/>
              <w:divBdr>
                <w:top w:val="none" w:sz="0" w:space="0" w:color="auto"/>
                <w:left w:val="none" w:sz="0" w:space="0" w:color="auto"/>
                <w:bottom w:val="none" w:sz="0" w:space="0" w:color="auto"/>
                <w:right w:val="none" w:sz="0" w:space="0" w:color="auto"/>
              </w:divBdr>
            </w:div>
            <w:div w:id="1766463600">
              <w:marLeft w:val="0"/>
              <w:marRight w:val="0"/>
              <w:marTop w:val="0"/>
              <w:marBottom w:val="0"/>
              <w:divBdr>
                <w:top w:val="none" w:sz="0" w:space="0" w:color="auto"/>
                <w:left w:val="none" w:sz="0" w:space="0" w:color="auto"/>
                <w:bottom w:val="none" w:sz="0" w:space="0" w:color="auto"/>
                <w:right w:val="none" w:sz="0" w:space="0" w:color="auto"/>
              </w:divBdr>
            </w:div>
          </w:divsChild>
        </w:div>
        <w:div w:id="648364657">
          <w:marLeft w:val="0"/>
          <w:marRight w:val="0"/>
          <w:marTop w:val="0"/>
          <w:marBottom w:val="0"/>
          <w:divBdr>
            <w:top w:val="none" w:sz="0" w:space="0" w:color="auto"/>
            <w:left w:val="none" w:sz="0" w:space="0" w:color="auto"/>
            <w:bottom w:val="none" w:sz="0" w:space="0" w:color="auto"/>
            <w:right w:val="none" w:sz="0" w:space="0" w:color="auto"/>
          </w:divBdr>
          <w:divsChild>
            <w:div w:id="935672193">
              <w:marLeft w:val="0"/>
              <w:marRight w:val="0"/>
              <w:marTop w:val="0"/>
              <w:marBottom w:val="0"/>
              <w:divBdr>
                <w:top w:val="none" w:sz="0" w:space="0" w:color="auto"/>
                <w:left w:val="none" w:sz="0" w:space="0" w:color="auto"/>
                <w:bottom w:val="none" w:sz="0" w:space="0" w:color="auto"/>
                <w:right w:val="none" w:sz="0" w:space="0" w:color="auto"/>
              </w:divBdr>
            </w:div>
          </w:divsChild>
        </w:div>
        <w:div w:id="1351838917">
          <w:marLeft w:val="0"/>
          <w:marRight w:val="0"/>
          <w:marTop w:val="0"/>
          <w:marBottom w:val="0"/>
          <w:divBdr>
            <w:top w:val="none" w:sz="0" w:space="0" w:color="auto"/>
            <w:left w:val="none" w:sz="0" w:space="0" w:color="auto"/>
            <w:bottom w:val="none" w:sz="0" w:space="0" w:color="auto"/>
            <w:right w:val="none" w:sz="0" w:space="0" w:color="auto"/>
          </w:divBdr>
          <w:divsChild>
            <w:div w:id="1356883267">
              <w:marLeft w:val="0"/>
              <w:marRight w:val="0"/>
              <w:marTop w:val="0"/>
              <w:marBottom w:val="0"/>
              <w:divBdr>
                <w:top w:val="none" w:sz="0" w:space="0" w:color="auto"/>
                <w:left w:val="none" w:sz="0" w:space="0" w:color="auto"/>
                <w:bottom w:val="none" w:sz="0" w:space="0" w:color="auto"/>
                <w:right w:val="none" w:sz="0" w:space="0" w:color="auto"/>
              </w:divBdr>
            </w:div>
            <w:div w:id="1723747123">
              <w:marLeft w:val="0"/>
              <w:marRight w:val="0"/>
              <w:marTop w:val="0"/>
              <w:marBottom w:val="0"/>
              <w:divBdr>
                <w:top w:val="none" w:sz="0" w:space="0" w:color="auto"/>
                <w:left w:val="none" w:sz="0" w:space="0" w:color="auto"/>
                <w:bottom w:val="none" w:sz="0" w:space="0" w:color="auto"/>
                <w:right w:val="none" w:sz="0" w:space="0" w:color="auto"/>
              </w:divBdr>
            </w:div>
            <w:div w:id="54164248">
              <w:marLeft w:val="0"/>
              <w:marRight w:val="0"/>
              <w:marTop w:val="0"/>
              <w:marBottom w:val="0"/>
              <w:divBdr>
                <w:top w:val="none" w:sz="0" w:space="0" w:color="auto"/>
                <w:left w:val="none" w:sz="0" w:space="0" w:color="auto"/>
                <w:bottom w:val="none" w:sz="0" w:space="0" w:color="auto"/>
                <w:right w:val="none" w:sz="0" w:space="0" w:color="auto"/>
              </w:divBdr>
            </w:div>
            <w:div w:id="2123525966">
              <w:marLeft w:val="0"/>
              <w:marRight w:val="0"/>
              <w:marTop w:val="0"/>
              <w:marBottom w:val="0"/>
              <w:divBdr>
                <w:top w:val="none" w:sz="0" w:space="0" w:color="auto"/>
                <w:left w:val="none" w:sz="0" w:space="0" w:color="auto"/>
                <w:bottom w:val="none" w:sz="0" w:space="0" w:color="auto"/>
                <w:right w:val="none" w:sz="0" w:space="0" w:color="auto"/>
              </w:divBdr>
            </w:div>
            <w:div w:id="918515782">
              <w:marLeft w:val="0"/>
              <w:marRight w:val="0"/>
              <w:marTop w:val="0"/>
              <w:marBottom w:val="0"/>
              <w:divBdr>
                <w:top w:val="none" w:sz="0" w:space="0" w:color="auto"/>
                <w:left w:val="none" w:sz="0" w:space="0" w:color="auto"/>
                <w:bottom w:val="none" w:sz="0" w:space="0" w:color="auto"/>
                <w:right w:val="none" w:sz="0" w:space="0" w:color="auto"/>
              </w:divBdr>
            </w:div>
            <w:div w:id="1366557823">
              <w:marLeft w:val="0"/>
              <w:marRight w:val="0"/>
              <w:marTop w:val="0"/>
              <w:marBottom w:val="0"/>
              <w:divBdr>
                <w:top w:val="none" w:sz="0" w:space="0" w:color="auto"/>
                <w:left w:val="none" w:sz="0" w:space="0" w:color="auto"/>
                <w:bottom w:val="none" w:sz="0" w:space="0" w:color="auto"/>
                <w:right w:val="none" w:sz="0" w:space="0" w:color="auto"/>
              </w:divBdr>
            </w:div>
            <w:div w:id="352807293">
              <w:marLeft w:val="0"/>
              <w:marRight w:val="0"/>
              <w:marTop w:val="0"/>
              <w:marBottom w:val="0"/>
              <w:divBdr>
                <w:top w:val="none" w:sz="0" w:space="0" w:color="auto"/>
                <w:left w:val="none" w:sz="0" w:space="0" w:color="auto"/>
                <w:bottom w:val="none" w:sz="0" w:space="0" w:color="auto"/>
                <w:right w:val="none" w:sz="0" w:space="0" w:color="auto"/>
              </w:divBdr>
            </w:div>
            <w:div w:id="74012867">
              <w:marLeft w:val="0"/>
              <w:marRight w:val="0"/>
              <w:marTop w:val="0"/>
              <w:marBottom w:val="0"/>
              <w:divBdr>
                <w:top w:val="none" w:sz="0" w:space="0" w:color="auto"/>
                <w:left w:val="none" w:sz="0" w:space="0" w:color="auto"/>
                <w:bottom w:val="none" w:sz="0" w:space="0" w:color="auto"/>
                <w:right w:val="none" w:sz="0" w:space="0" w:color="auto"/>
              </w:divBdr>
            </w:div>
          </w:divsChild>
        </w:div>
        <w:div w:id="1521702786">
          <w:marLeft w:val="0"/>
          <w:marRight w:val="0"/>
          <w:marTop w:val="0"/>
          <w:marBottom w:val="0"/>
          <w:divBdr>
            <w:top w:val="none" w:sz="0" w:space="0" w:color="auto"/>
            <w:left w:val="none" w:sz="0" w:space="0" w:color="auto"/>
            <w:bottom w:val="none" w:sz="0" w:space="0" w:color="auto"/>
            <w:right w:val="none" w:sz="0" w:space="0" w:color="auto"/>
          </w:divBdr>
          <w:divsChild>
            <w:div w:id="1969389566">
              <w:marLeft w:val="0"/>
              <w:marRight w:val="0"/>
              <w:marTop w:val="0"/>
              <w:marBottom w:val="0"/>
              <w:divBdr>
                <w:top w:val="none" w:sz="0" w:space="0" w:color="auto"/>
                <w:left w:val="none" w:sz="0" w:space="0" w:color="auto"/>
                <w:bottom w:val="none" w:sz="0" w:space="0" w:color="auto"/>
                <w:right w:val="none" w:sz="0" w:space="0" w:color="auto"/>
              </w:divBdr>
            </w:div>
          </w:divsChild>
        </w:div>
        <w:div w:id="58214733">
          <w:marLeft w:val="0"/>
          <w:marRight w:val="0"/>
          <w:marTop w:val="0"/>
          <w:marBottom w:val="0"/>
          <w:divBdr>
            <w:top w:val="none" w:sz="0" w:space="0" w:color="auto"/>
            <w:left w:val="none" w:sz="0" w:space="0" w:color="auto"/>
            <w:bottom w:val="none" w:sz="0" w:space="0" w:color="auto"/>
            <w:right w:val="none" w:sz="0" w:space="0" w:color="auto"/>
          </w:divBdr>
          <w:divsChild>
            <w:div w:id="1105077524">
              <w:marLeft w:val="0"/>
              <w:marRight w:val="0"/>
              <w:marTop w:val="0"/>
              <w:marBottom w:val="0"/>
              <w:divBdr>
                <w:top w:val="none" w:sz="0" w:space="0" w:color="auto"/>
                <w:left w:val="none" w:sz="0" w:space="0" w:color="auto"/>
                <w:bottom w:val="none" w:sz="0" w:space="0" w:color="auto"/>
                <w:right w:val="none" w:sz="0" w:space="0" w:color="auto"/>
              </w:divBdr>
            </w:div>
            <w:div w:id="142160762">
              <w:marLeft w:val="0"/>
              <w:marRight w:val="0"/>
              <w:marTop w:val="0"/>
              <w:marBottom w:val="0"/>
              <w:divBdr>
                <w:top w:val="none" w:sz="0" w:space="0" w:color="auto"/>
                <w:left w:val="none" w:sz="0" w:space="0" w:color="auto"/>
                <w:bottom w:val="none" w:sz="0" w:space="0" w:color="auto"/>
                <w:right w:val="none" w:sz="0" w:space="0" w:color="auto"/>
              </w:divBdr>
            </w:div>
            <w:div w:id="2017153911">
              <w:marLeft w:val="0"/>
              <w:marRight w:val="0"/>
              <w:marTop w:val="0"/>
              <w:marBottom w:val="0"/>
              <w:divBdr>
                <w:top w:val="none" w:sz="0" w:space="0" w:color="auto"/>
                <w:left w:val="none" w:sz="0" w:space="0" w:color="auto"/>
                <w:bottom w:val="none" w:sz="0" w:space="0" w:color="auto"/>
                <w:right w:val="none" w:sz="0" w:space="0" w:color="auto"/>
              </w:divBdr>
            </w:div>
            <w:div w:id="469783972">
              <w:marLeft w:val="0"/>
              <w:marRight w:val="0"/>
              <w:marTop w:val="0"/>
              <w:marBottom w:val="0"/>
              <w:divBdr>
                <w:top w:val="none" w:sz="0" w:space="0" w:color="auto"/>
                <w:left w:val="none" w:sz="0" w:space="0" w:color="auto"/>
                <w:bottom w:val="none" w:sz="0" w:space="0" w:color="auto"/>
                <w:right w:val="none" w:sz="0" w:space="0" w:color="auto"/>
              </w:divBdr>
            </w:div>
            <w:div w:id="393548644">
              <w:marLeft w:val="0"/>
              <w:marRight w:val="0"/>
              <w:marTop w:val="0"/>
              <w:marBottom w:val="0"/>
              <w:divBdr>
                <w:top w:val="none" w:sz="0" w:space="0" w:color="auto"/>
                <w:left w:val="none" w:sz="0" w:space="0" w:color="auto"/>
                <w:bottom w:val="none" w:sz="0" w:space="0" w:color="auto"/>
                <w:right w:val="none" w:sz="0" w:space="0" w:color="auto"/>
              </w:divBdr>
            </w:div>
            <w:div w:id="1979216520">
              <w:marLeft w:val="0"/>
              <w:marRight w:val="0"/>
              <w:marTop w:val="0"/>
              <w:marBottom w:val="0"/>
              <w:divBdr>
                <w:top w:val="none" w:sz="0" w:space="0" w:color="auto"/>
                <w:left w:val="none" w:sz="0" w:space="0" w:color="auto"/>
                <w:bottom w:val="none" w:sz="0" w:space="0" w:color="auto"/>
                <w:right w:val="none" w:sz="0" w:space="0" w:color="auto"/>
              </w:divBdr>
            </w:div>
            <w:div w:id="1997999031">
              <w:marLeft w:val="0"/>
              <w:marRight w:val="0"/>
              <w:marTop w:val="0"/>
              <w:marBottom w:val="0"/>
              <w:divBdr>
                <w:top w:val="none" w:sz="0" w:space="0" w:color="auto"/>
                <w:left w:val="none" w:sz="0" w:space="0" w:color="auto"/>
                <w:bottom w:val="none" w:sz="0" w:space="0" w:color="auto"/>
                <w:right w:val="none" w:sz="0" w:space="0" w:color="auto"/>
              </w:divBdr>
            </w:div>
            <w:div w:id="2126266546">
              <w:marLeft w:val="0"/>
              <w:marRight w:val="0"/>
              <w:marTop w:val="0"/>
              <w:marBottom w:val="0"/>
              <w:divBdr>
                <w:top w:val="none" w:sz="0" w:space="0" w:color="auto"/>
                <w:left w:val="none" w:sz="0" w:space="0" w:color="auto"/>
                <w:bottom w:val="none" w:sz="0" w:space="0" w:color="auto"/>
                <w:right w:val="none" w:sz="0" w:space="0" w:color="auto"/>
              </w:divBdr>
            </w:div>
          </w:divsChild>
        </w:div>
        <w:div w:id="1521700279">
          <w:marLeft w:val="0"/>
          <w:marRight w:val="0"/>
          <w:marTop w:val="0"/>
          <w:marBottom w:val="0"/>
          <w:divBdr>
            <w:top w:val="none" w:sz="0" w:space="0" w:color="auto"/>
            <w:left w:val="none" w:sz="0" w:space="0" w:color="auto"/>
            <w:bottom w:val="none" w:sz="0" w:space="0" w:color="auto"/>
            <w:right w:val="none" w:sz="0" w:space="0" w:color="auto"/>
          </w:divBdr>
          <w:divsChild>
            <w:div w:id="1043140778">
              <w:marLeft w:val="0"/>
              <w:marRight w:val="0"/>
              <w:marTop w:val="0"/>
              <w:marBottom w:val="0"/>
              <w:divBdr>
                <w:top w:val="none" w:sz="0" w:space="0" w:color="auto"/>
                <w:left w:val="none" w:sz="0" w:space="0" w:color="auto"/>
                <w:bottom w:val="none" w:sz="0" w:space="0" w:color="auto"/>
                <w:right w:val="none" w:sz="0" w:space="0" w:color="auto"/>
              </w:divBdr>
            </w:div>
          </w:divsChild>
        </w:div>
        <w:div w:id="1853568433">
          <w:marLeft w:val="0"/>
          <w:marRight w:val="0"/>
          <w:marTop w:val="0"/>
          <w:marBottom w:val="0"/>
          <w:divBdr>
            <w:top w:val="none" w:sz="0" w:space="0" w:color="auto"/>
            <w:left w:val="none" w:sz="0" w:space="0" w:color="auto"/>
            <w:bottom w:val="none" w:sz="0" w:space="0" w:color="auto"/>
            <w:right w:val="none" w:sz="0" w:space="0" w:color="auto"/>
          </w:divBdr>
          <w:divsChild>
            <w:div w:id="2096322656">
              <w:marLeft w:val="0"/>
              <w:marRight w:val="0"/>
              <w:marTop w:val="0"/>
              <w:marBottom w:val="0"/>
              <w:divBdr>
                <w:top w:val="none" w:sz="0" w:space="0" w:color="auto"/>
                <w:left w:val="none" w:sz="0" w:space="0" w:color="auto"/>
                <w:bottom w:val="none" w:sz="0" w:space="0" w:color="auto"/>
                <w:right w:val="none" w:sz="0" w:space="0" w:color="auto"/>
              </w:divBdr>
            </w:div>
            <w:div w:id="1812744934">
              <w:marLeft w:val="0"/>
              <w:marRight w:val="0"/>
              <w:marTop w:val="0"/>
              <w:marBottom w:val="0"/>
              <w:divBdr>
                <w:top w:val="none" w:sz="0" w:space="0" w:color="auto"/>
                <w:left w:val="none" w:sz="0" w:space="0" w:color="auto"/>
                <w:bottom w:val="none" w:sz="0" w:space="0" w:color="auto"/>
                <w:right w:val="none" w:sz="0" w:space="0" w:color="auto"/>
              </w:divBdr>
            </w:div>
            <w:div w:id="52320068">
              <w:marLeft w:val="0"/>
              <w:marRight w:val="0"/>
              <w:marTop w:val="0"/>
              <w:marBottom w:val="0"/>
              <w:divBdr>
                <w:top w:val="none" w:sz="0" w:space="0" w:color="auto"/>
                <w:left w:val="none" w:sz="0" w:space="0" w:color="auto"/>
                <w:bottom w:val="none" w:sz="0" w:space="0" w:color="auto"/>
                <w:right w:val="none" w:sz="0" w:space="0" w:color="auto"/>
              </w:divBdr>
            </w:div>
            <w:div w:id="1605725798">
              <w:marLeft w:val="0"/>
              <w:marRight w:val="0"/>
              <w:marTop w:val="0"/>
              <w:marBottom w:val="0"/>
              <w:divBdr>
                <w:top w:val="none" w:sz="0" w:space="0" w:color="auto"/>
                <w:left w:val="none" w:sz="0" w:space="0" w:color="auto"/>
                <w:bottom w:val="none" w:sz="0" w:space="0" w:color="auto"/>
                <w:right w:val="none" w:sz="0" w:space="0" w:color="auto"/>
              </w:divBdr>
            </w:div>
            <w:div w:id="1487240892">
              <w:marLeft w:val="0"/>
              <w:marRight w:val="0"/>
              <w:marTop w:val="0"/>
              <w:marBottom w:val="0"/>
              <w:divBdr>
                <w:top w:val="none" w:sz="0" w:space="0" w:color="auto"/>
                <w:left w:val="none" w:sz="0" w:space="0" w:color="auto"/>
                <w:bottom w:val="none" w:sz="0" w:space="0" w:color="auto"/>
                <w:right w:val="none" w:sz="0" w:space="0" w:color="auto"/>
              </w:divBdr>
            </w:div>
            <w:div w:id="560361453">
              <w:marLeft w:val="0"/>
              <w:marRight w:val="0"/>
              <w:marTop w:val="0"/>
              <w:marBottom w:val="0"/>
              <w:divBdr>
                <w:top w:val="none" w:sz="0" w:space="0" w:color="auto"/>
                <w:left w:val="none" w:sz="0" w:space="0" w:color="auto"/>
                <w:bottom w:val="none" w:sz="0" w:space="0" w:color="auto"/>
                <w:right w:val="none" w:sz="0" w:space="0" w:color="auto"/>
              </w:divBdr>
            </w:div>
            <w:div w:id="113671911">
              <w:marLeft w:val="0"/>
              <w:marRight w:val="0"/>
              <w:marTop w:val="0"/>
              <w:marBottom w:val="0"/>
              <w:divBdr>
                <w:top w:val="none" w:sz="0" w:space="0" w:color="auto"/>
                <w:left w:val="none" w:sz="0" w:space="0" w:color="auto"/>
                <w:bottom w:val="none" w:sz="0" w:space="0" w:color="auto"/>
                <w:right w:val="none" w:sz="0" w:space="0" w:color="auto"/>
              </w:divBdr>
            </w:div>
            <w:div w:id="328168979">
              <w:marLeft w:val="0"/>
              <w:marRight w:val="0"/>
              <w:marTop w:val="0"/>
              <w:marBottom w:val="0"/>
              <w:divBdr>
                <w:top w:val="none" w:sz="0" w:space="0" w:color="auto"/>
                <w:left w:val="none" w:sz="0" w:space="0" w:color="auto"/>
                <w:bottom w:val="none" w:sz="0" w:space="0" w:color="auto"/>
                <w:right w:val="none" w:sz="0" w:space="0" w:color="auto"/>
              </w:divBdr>
            </w:div>
          </w:divsChild>
        </w:div>
        <w:div w:id="399064648">
          <w:marLeft w:val="0"/>
          <w:marRight w:val="0"/>
          <w:marTop w:val="0"/>
          <w:marBottom w:val="0"/>
          <w:divBdr>
            <w:top w:val="none" w:sz="0" w:space="0" w:color="auto"/>
            <w:left w:val="none" w:sz="0" w:space="0" w:color="auto"/>
            <w:bottom w:val="none" w:sz="0" w:space="0" w:color="auto"/>
            <w:right w:val="none" w:sz="0" w:space="0" w:color="auto"/>
          </w:divBdr>
          <w:divsChild>
            <w:div w:id="1564485672">
              <w:marLeft w:val="0"/>
              <w:marRight w:val="0"/>
              <w:marTop w:val="0"/>
              <w:marBottom w:val="0"/>
              <w:divBdr>
                <w:top w:val="none" w:sz="0" w:space="0" w:color="auto"/>
                <w:left w:val="none" w:sz="0" w:space="0" w:color="auto"/>
                <w:bottom w:val="none" w:sz="0" w:space="0" w:color="auto"/>
                <w:right w:val="none" w:sz="0" w:space="0" w:color="auto"/>
              </w:divBdr>
            </w:div>
          </w:divsChild>
        </w:div>
        <w:div w:id="1201938268">
          <w:marLeft w:val="0"/>
          <w:marRight w:val="0"/>
          <w:marTop w:val="0"/>
          <w:marBottom w:val="0"/>
          <w:divBdr>
            <w:top w:val="none" w:sz="0" w:space="0" w:color="auto"/>
            <w:left w:val="none" w:sz="0" w:space="0" w:color="auto"/>
            <w:bottom w:val="none" w:sz="0" w:space="0" w:color="auto"/>
            <w:right w:val="none" w:sz="0" w:space="0" w:color="auto"/>
          </w:divBdr>
          <w:divsChild>
            <w:div w:id="1443913626">
              <w:marLeft w:val="0"/>
              <w:marRight w:val="0"/>
              <w:marTop w:val="0"/>
              <w:marBottom w:val="0"/>
              <w:divBdr>
                <w:top w:val="none" w:sz="0" w:space="0" w:color="auto"/>
                <w:left w:val="none" w:sz="0" w:space="0" w:color="auto"/>
                <w:bottom w:val="none" w:sz="0" w:space="0" w:color="auto"/>
                <w:right w:val="none" w:sz="0" w:space="0" w:color="auto"/>
              </w:divBdr>
            </w:div>
            <w:div w:id="880946292">
              <w:marLeft w:val="0"/>
              <w:marRight w:val="0"/>
              <w:marTop w:val="0"/>
              <w:marBottom w:val="0"/>
              <w:divBdr>
                <w:top w:val="none" w:sz="0" w:space="0" w:color="auto"/>
                <w:left w:val="none" w:sz="0" w:space="0" w:color="auto"/>
                <w:bottom w:val="none" w:sz="0" w:space="0" w:color="auto"/>
                <w:right w:val="none" w:sz="0" w:space="0" w:color="auto"/>
              </w:divBdr>
            </w:div>
            <w:div w:id="2059235323">
              <w:marLeft w:val="0"/>
              <w:marRight w:val="0"/>
              <w:marTop w:val="0"/>
              <w:marBottom w:val="0"/>
              <w:divBdr>
                <w:top w:val="none" w:sz="0" w:space="0" w:color="auto"/>
                <w:left w:val="none" w:sz="0" w:space="0" w:color="auto"/>
                <w:bottom w:val="none" w:sz="0" w:space="0" w:color="auto"/>
                <w:right w:val="none" w:sz="0" w:space="0" w:color="auto"/>
              </w:divBdr>
            </w:div>
            <w:div w:id="315232693">
              <w:marLeft w:val="0"/>
              <w:marRight w:val="0"/>
              <w:marTop w:val="0"/>
              <w:marBottom w:val="0"/>
              <w:divBdr>
                <w:top w:val="none" w:sz="0" w:space="0" w:color="auto"/>
                <w:left w:val="none" w:sz="0" w:space="0" w:color="auto"/>
                <w:bottom w:val="none" w:sz="0" w:space="0" w:color="auto"/>
                <w:right w:val="none" w:sz="0" w:space="0" w:color="auto"/>
              </w:divBdr>
            </w:div>
            <w:div w:id="1594318440">
              <w:marLeft w:val="0"/>
              <w:marRight w:val="0"/>
              <w:marTop w:val="0"/>
              <w:marBottom w:val="0"/>
              <w:divBdr>
                <w:top w:val="none" w:sz="0" w:space="0" w:color="auto"/>
                <w:left w:val="none" w:sz="0" w:space="0" w:color="auto"/>
                <w:bottom w:val="none" w:sz="0" w:space="0" w:color="auto"/>
                <w:right w:val="none" w:sz="0" w:space="0" w:color="auto"/>
              </w:divBdr>
            </w:div>
            <w:div w:id="1918973306">
              <w:marLeft w:val="0"/>
              <w:marRight w:val="0"/>
              <w:marTop w:val="0"/>
              <w:marBottom w:val="0"/>
              <w:divBdr>
                <w:top w:val="none" w:sz="0" w:space="0" w:color="auto"/>
                <w:left w:val="none" w:sz="0" w:space="0" w:color="auto"/>
                <w:bottom w:val="none" w:sz="0" w:space="0" w:color="auto"/>
                <w:right w:val="none" w:sz="0" w:space="0" w:color="auto"/>
              </w:divBdr>
            </w:div>
            <w:div w:id="613942863">
              <w:marLeft w:val="0"/>
              <w:marRight w:val="0"/>
              <w:marTop w:val="0"/>
              <w:marBottom w:val="0"/>
              <w:divBdr>
                <w:top w:val="none" w:sz="0" w:space="0" w:color="auto"/>
                <w:left w:val="none" w:sz="0" w:space="0" w:color="auto"/>
                <w:bottom w:val="none" w:sz="0" w:space="0" w:color="auto"/>
                <w:right w:val="none" w:sz="0" w:space="0" w:color="auto"/>
              </w:divBdr>
            </w:div>
            <w:div w:id="538784176">
              <w:marLeft w:val="0"/>
              <w:marRight w:val="0"/>
              <w:marTop w:val="0"/>
              <w:marBottom w:val="0"/>
              <w:divBdr>
                <w:top w:val="none" w:sz="0" w:space="0" w:color="auto"/>
                <w:left w:val="none" w:sz="0" w:space="0" w:color="auto"/>
                <w:bottom w:val="none" w:sz="0" w:space="0" w:color="auto"/>
                <w:right w:val="none" w:sz="0" w:space="0" w:color="auto"/>
              </w:divBdr>
            </w:div>
          </w:divsChild>
        </w:div>
        <w:div w:id="121071857">
          <w:marLeft w:val="0"/>
          <w:marRight w:val="0"/>
          <w:marTop w:val="0"/>
          <w:marBottom w:val="0"/>
          <w:divBdr>
            <w:top w:val="none" w:sz="0" w:space="0" w:color="auto"/>
            <w:left w:val="none" w:sz="0" w:space="0" w:color="auto"/>
            <w:bottom w:val="none" w:sz="0" w:space="0" w:color="auto"/>
            <w:right w:val="none" w:sz="0" w:space="0" w:color="auto"/>
          </w:divBdr>
          <w:divsChild>
            <w:div w:id="359089374">
              <w:marLeft w:val="0"/>
              <w:marRight w:val="0"/>
              <w:marTop w:val="0"/>
              <w:marBottom w:val="0"/>
              <w:divBdr>
                <w:top w:val="none" w:sz="0" w:space="0" w:color="auto"/>
                <w:left w:val="none" w:sz="0" w:space="0" w:color="auto"/>
                <w:bottom w:val="none" w:sz="0" w:space="0" w:color="auto"/>
                <w:right w:val="none" w:sz="0" w:space="0" w:color="auto"/>
              </w:divBdr>
            </w:div>
          </w:divsChild>
        </w:div>
        <w:div w:id="1070542678">
          <w:marLeft w:val="0"/>
          <w:marRight w:val="0"/>
          <w:marTop w:val="0"/>
          <w:marBottom w:val="0"/>
          <w:divBdr>
            <w:top w:val="none" w:sz="0" w:space="0" w:color="auto"/>
            <w:left w:val="none" w:sz="0" w:space="0" w:color="auto"/>
            <w:bottom w:val="none" w:sz="0" w:space="0" w:color="auto"/>
            <w:right w:val="none" w:sz="0" w:space="0" w:color="auto"/>
          </w:divBdr>
          <w:divsChild>
            <w:div w:id="1744718198">
              <w:marLeft w:val="0"/>
              <w:marRight w:val="0"/>
              <w:marTop w:val="0"/>
              <w:marBottom w:val="0"/>
              <w:divBdr>
                <w:top w:val="none" w:sz="0" w:space="0" w:color="auto"/>
                <w:left w:val="none" w:sz="0" w:space="0" w:color="auto"/>
                <w:bottom w:val="none" w:sz="0" w:space="0" w:color="auto"/>
                <w:right w:val="none" w:sz="0" w:space="0" w:color="auto"/>
              </w:divBdr>
            </w:div>
            <w:div w:id="1379084705">
              <w:marLeft w:val="0"/>
              <w:marRight w:val="0"/>
              <w:marTop w:val="0"/>
              <w:marBottom w:val="0"/>
              <w:divBdr>
                <w:top w:val="none" w:sz="0" w:space="0" w:color="auto"/>
                <w:left w:val="none" w:sz="0" w:space="0" w:color="auto"/>
                <w:bottom w:val="none" w:sz="0" w:space="0" w:color="auto"/>
                <w:right w:val="none" w:sz="0" w:space="0" w:color="auto"/>
              </w:divBdr>
            </w:div>
            <w:div w:id="439640273">
              <w:marLeft w:val="0"/>
              <w:marRight w:val="0"/>
              <w:marTop w:val="0"/>
              <w:marBottom w:val="0"/>
              <w:divBdr>
                <w:top w:val="none" w:sz="0" w:space="0" w:color="auto"/>
                <w:left w:val="none" w:sz="0" w:space="0" w:color="auto"/>
                <w:bottom w:val="none" w:sz="0" w:space="0" w:color="auto"/>
                <w:right w:val="none" w:sz="0" w:space="0" w:color="auto"/>
              </w:divBdr>
            </w:div>
            <w:div w:id="1309434608">
              <w:marLeft w:val="0"/>
              <w:marRight w:val="0"/>
              <w:marTop w:val="0"/>
              <w:marBottom w:val="0"/>
              <w:divBdr>
                <w:top w:val="none" w:sz="0" w:space="0" w:color="auto"/>
                <w:left w:val="none" w:sz="0" w:space="0" w:color="auto"/>
                <w:bottom w:val="none" w:sz="0" w:space="0" w:color="auto"/>
                <w:right w:val="none" w:sz="0" w:space="0" w:color="auto"/>
              </w:divBdr>
            </w:div>
            <w:div w:id="743333458">
              <w:marLeft w:val="0"/>
              <w:marRight w:val="0"/>
              <w:marTop w:val="0"/>
              <w:marBottom w:val="0"/>
              <w:divBdr>
                <w:top w:val="none" w:sz="0" w:space="0" w:color="auto"/>
                <w:left w:val="none" w:sz="0" w:space="0" w:color="auto"/>
                <w:bottom w:val="none" w:sz="0" w:space="0" w:color="auto"/>
                <w:right w:val="none" w:sz="0" w:space="0" w:color="auto"/>
              </w:divBdr>
            </w:div>
            <w:div w:id="174851759">
              <w:marLeft w:val="0"/>
              <w:marRight w:val="0"/>
              <w:marTop w:val="0"/>
              <w:marBottom w:val="0"/>
              <w:divBdr>
                <w:top w:val="none" w:sz="0" w:space="0" w:color="auto"/>
                <w:left w:val="none" w:sz="0" w:space="0" w:color="auto"/>
                <w:bottom w:val="none" w:sz="0" w:space="0" w:color="auto"/>
                <w:right w:val="none" w:sz="0" w:space="0" w:color="auto"/>
              </w:divBdr>
            </w:div>
            <w:div w:id="1938363793">
              <w:marLeft w:val="0"/>
              <w:marRight w:val="0"/>
              <w:marTop w:val="0"/>
              <w:marBottom w:val="0"/>
              <w:divBdr>
                <w:top w:val="none" w:sz="0" w:space="0" w:color="auto"/>
                <w:left w:val="none" w:sz="0" w:space="0" w:color="auto"/>
                <w:bottom w:val="none" w:sz="0" w:space="0" w:color="auto"/>
                <w:right w:val="none" w:sz="0" w:space="0" w:color="auto"/>
              </w:divBdr>
            </w:div>
            <w:div w:id="1615166314">
              <w:marLeft w:val="0"/>
              <w:marRight w:val="0"/>
              <w:marTop w:val="0"/>
              <w:marBottom w:val="0"/>
              <w:divBdr>
                <w:top w:val="none" w:sz="0" w:space="0" w:color="auto"/>
                <w:left w:val="none" w:sz="0" w:space="0" w:color="auto"/>
                <w:bottom w:val="none" w:sz="0" w:space="0" w:color="auto"/>
                <w:right w:val="none" w:sz="0" w:space="0" w:color="auto"/>
              </w:divBdr>
            </w:div>
          </w:divsChild>
        </w:div>
        <w:div w:id="386687746">
          <w:marLeft w:val="0"/>
          <w:marRight w:val="0"/>
          <w:marTop w:val="0"/>
          <w:marBottom w:val="0"/>
          <w:divBdr>
            <w:top w:val="none" w:sz="0" w:space="0" w:color="auto"/>
            <w:left w:val="none" w:sz="0" w:space="0" w:color="auto"/>
            <w:bottom w:val="none" w:sz="0" w:space="0" w:color="auto"/>
            <w:right w:val="none" w:sz="0" w:space="0" w:color="auto"/>
          </w:divBdr>
          <w:divsChild>
            <w:div w:id="80806205">
              <w:marLeft w:val="0"/>
              <w:marRight w:val="0"/>
              <w:marTop w:val="0"/>
              <w:marBottom w:val="0"/>
              <w:divBdr>
                <w:top w:val="none" w:sz="0" w:space="0" w:color="auto"/>
                <w:left w:val="none" w:sz="0" w:space="0" w:color="auto"/>
                <w:bottom w:val="none" w:sz="0" w:space="0" w:color="auto"/>
                <w:right w:val="none" w:sz="0" w:space="0" w:color="auto"/>
              </w:divBdr>
            </w:div>
          </w:divsChild>
        </w:div>
        <w:div w:id="2022395388">
          <w:marLeft w:val="0"/>
          <w:marRight w:val="0"/>
          <w:marTop w:val="0"/>
          <w:marBottom w:val="0"/>
          <w:divBdr>
            <w:top w:val="none" w:sz="0" w:space="0" w:color="auto"/>
            <w:left w:val="none" w:sz="0" w:space="0" w:color="auto"/>
            <w:bottom w:val="none" w:sz="0" w:space="0" w:color="auto"/>
            <w:right w:val="none" w:sz="0" w:space="0" w:color="auto"/>
          </w:divBdr>
          <w:divsChild>
            <w:div w:id="1051880699">
              <w:marLeft w:val="0"/>
              <w:marRight w:val="0"/>
              <w:marTop w:val="0"/>
              <w:marBottom w:val="0"/>
              <w:divBdr>
                <w:top w:val="none" w:sz="0" w:space="0" w:color="auto"/>
                <w:left w:val="none" w:sz="0" w:space="0" w:color="auto"/>
                <w:bottom w:val="none" w:sz="0" w:space="0" w:color="auto"/>
                <w:right w:val="none" w:sz="0" w:space="0" w:color="auto"/>
              </w:divBdr>
            </w:div>
            <w:div w:id="1962757601">
              <w:marLeft w:val="0"/>
              <w:marRight w:val="0"/>
              <w:marTop w:val="0"/>
              <w:marBottom w:val="0"/>
              <w:divBdr>
                <w:top w:val="none" w:sz="0" w:space="0" w:color="auto"/>
                <w:left w:val="none" w:sz="0" w:space="0" w:color="auto"/>
                <w:bottom w:val="none" w:sz="0" w:space="0" w:color="auto"/>
                <w:right w:val="none" w:sz="0" w:space="0" w:color="auto"/>
              </w:divBdr>
            </w:div>
            <w:div w:id="1084761132">
              <w:marLeft w:val="0"/>
              <w:marRight w:val="0"/>
              <w:marTop w:val="0"/>
              <w:marBottom w:val="0"/>
              <w:divBdr>
                <w:top w:val="none" w:sz="0" w:space="0" w:color="auto"/>
                <w:left w:val="none" w:sz="0" w:space="0" w:color="auto"/>
                <w:bottom w:val="none" w:sz="0" w:space="0" w:color="auto"/>
                <w:right w:val="none" w:sz="0" w:space="0" w:color="auto"/>
              </w:divBdr>
            </w:div>
            <w:div w:id="1150367845">
              <w:marLeft w:val="0"/>
              <w:marRight w:val="0"/>
              <w:marTop w:val="0"/>
              <w:marBottom w:val="0"/>
              <w:divBdr>
                <w:top w:val="none" w:sz="0" w:space="0" w:color="auto"/>
                <w:left w:val="none" w:sz="0" w:space="0" w:color="auto"/>
                <w:bottom w:val="none" w:sz="0" w:space="0" w:color="auto"/>
                <w:right w:val="none" w:sz="0" w:space="0" w:color="auto"/>
              </w:divBdr>
            </w:div>
            <w:div w:id="102386259">
              <w:marLeft w:val="0"/>
              <w:marRight w:val="0"/>
              <w:marTop w:val="0"/>
              <w:marBottom w:val="0"/>
              <w:divBdr>
                <w:top w:val="none" w:sz="0" w:space="0" w:color="auto"/>
                <w:left w:val="none" w:sz="0" w:space="0" w:color="auto"/>
                <w:bottom w:val="none" w:sz="0" w:space="0" w:color="auto"/>
                <w:right w:val="none" w:sz="0" w:space="0" w:color="auto"/>
              </w:divBdr>
            </w:div>
            <w:div w:id="1990405167">
              <w:marLeft w:val="0"/>
              <w:marRight w:val="0"/>
              <w:marTop w:val="0"/>
              <w:marBottom w:val="0"/>
              <w:divBdr>
                <w:top w:val="none" w:sz="0" w:space="0" w:color="auto"/>
                <w:left w:val="none" w:sz="0" w:space="0" w:color="auto"/>
                <w:bottom w:val="none" w:sz="0" w:space="0" w:color="auto"/>
                <w:right w:val="none" w:sz="0" w:space="0" w:color="auto"/>
              </w:divBdr>
            </w:div>
            <w:div w:id="532959381">
              <w:marLeft w:val="0"/>
              <w:marRight w:val="0"/>
              <w:marTop w:val="0"/>
              <w:marBottom w:val="0"/>
              <w:divBdr>
                <w:top w:val="none" w:sz="0" w:space="0" w:color="auto"/>
                <w:left w:val="none" w:sz="0" w:space="0" w:color="auto"/>
                <w:bottom w:val="none" w:sz="0" w:space="0" w:color="auto"/>
                <w:right w:val="none" w:sz="0" w:space="0" w:color="auto"/>
              </w:divBdr>
            </w:div>
            <w:div w:id="1969234823">
              <w:marLeft w:val="0"/>
              <w:marRight w:val="0"/>
              <w:marTop w:val="0"/>
              <w:marBottom w:val="0"/>
              <w:divBdr>
                <w:top w:val="none" w:sz="0" w:space="0" w:color="auto"/>
                <w:left w:val="none" w:sz="0" w:space="0" w:color="auto"/>
                <w:bottom w:val="none" w:sz="0" w:space="0" w:color="auto"/>
                <w:right w:val="none" w:sz="0" w:space="0" w:color="auto"/>
              </w:divBdr>
            </w:div>
          </w:divsChild>
        </w:div>
        <w:div w:id="2060666006">
          <w:marLeft w:val="0"/>
          <w:marRight w:val="0"/>
          <w:marTop w:val="0"/>
          <w:marBottom w:val="0"/>
          <w:divBdr>
            <w:top w:val="none" w:sz="0" w:space="0" w:color="auto"/>
            <w:left w:val="none" w:sz="0" w:space="0" w:color="auto"/>
            <w:bottom w:val="none" w:sz="0" w:space="0" w:color="auto"/>
            <w:right w:val="none" w:sz="0" w:space="0" w:color="auto"/>
          </w:divBdr>
          <w:divsChild>
            <w:div w:id="1408575791">
              <w:marLeft w:val="0"/>
              <w:marRight w:val="0"/>
              <w:marTop w:val="0"/>
              <w:marBottom w:val="0"/>
              <w:divBdr>
                <w:top w:val="none" w:sz="0" w:space="0" w:color="auto"/>
                <w:left w:val="none" w:sz="0" w:space="0" w:color="auto"/>
                <w:bottom w:val="none" w:sz="0" w:space="0" w:color="auto"/>
                <w:right w:val="none" w:sz="0" w:space="0" w:color="auto"/>
              </w:divBdr>
            </w:div>
          </w:divsChild>
        </w:div>
        <w:div w:id="1342708690">
          <w:marLeft w:val="0"/>
          <w:marRight w:val="0"/>
          <w:marTop w:val="0"/>
          <w:marBottom w:val="0"/>
          <w:divBdr>
            <w:top w:val="none" w:sz="0" w:space="0" w:color="auto"/>
            <w:left w:val="none" w:sz="0" w:space="0" w:color="auto"/>
            <w:bottom w:val="none" w:sz="0" w:space="0" w:color="auto"/>
            <w:right w:val="none" w:sz="0" w:space="0" w:color="auto"/>
          </w:divBdr>
          <w:divsChild>
            <w:div w:id="1961185052">
              <w:marLeft w:val="0"/>
              <w:marRight w:val="0"/>
              <w:marTop w:val="0"/>
              <w:marBottom w:val="0"/>
              <w:divBdr>
                <w:top w:val="none" w:sz="0" w:space="0" w:color="auto"/>
                <w:left w:val="none" w:sz="0" w:space="0" w:color="auto"/>
                <w:bottom w:val="none" w:sz="0" w:space="0" w:color="auto"/>
                <w:right w:val="none" w:sz="0" w:space="0" w:color="auto"/>
              </w:divBdr>
            </w:div>
            <w:div w:id="2087221971">
              <w:marLeft w:val="0"/>
              <w:marRight w:val="0"/>
              <w:marTop w:val="0"/>
              <w:marBottom w:val="0"/>
              <w:divBdr>
                <w:top w:val="none" w:sz="0" w:space="0" w:color="auto"/>
                <w:left w:val="none" w:sz="0" w:space="0" w:color="auto"/>
                <w:bottom w:val="none" w:sz="0" w:space="0" w:color="auto"/>
                <w:right w:val="none" w:sz="0" w:space="0" w:color="auto"/>
              </w:divBdr>
            </w:div>
            <w:div w:id="596064279">
              <w:marLeft w:val="0"/>
              <w:marRight w:val="0"/>
              <w:marTop w:val="0"/>
              <w:marBottom w:val="0"/>
              <w:divBdr>
                <w:top w:val="none" w:sz="0" w:space="0" w:color="auto"/>
                <w:left w:val="none" w:sz="0" w:space="0" w:color="auto"/>
                <w:bottom w:val="none" w:sz="0" w:space="0" w:color="auto"/>
                <w:right w:val="none" w:sz="0" w:space="0" w:color="auto"/>
              </w:divBdr>
            </w:div>
            <w:div w:id="1593974615">
              <w:marLeft w:val="0"/>
              <w:marRight w:val="0"/>
              <w:marTop w:val="0"/>
              <w:marBottom w:val="0"/>
              <w:divBdr>
                <w:top w:val="none" w:sz="0" w:space="0" w:color="auto"/>
                <w:left w:val="none" w:sz="0" w:space="0" w:color="auto"/>
                <w:bottom w:val="none" w:sz="0" w:space="0" w:color="auto"/>
                <w:right w:val="none" w:sz="0" w:space="0" w:color="auto"/>
              </w:divBdr>
            </w:div>
            <w:div w:id="1451558479">
              <w:marLeft w:val="0"/>
              <w:marRight w:val="0"/>
              <w:marTop w:val="0"/>
              <w:marBottom w:val="0"/>
              <w:divBdr>
                <w:top w:val="none" w:sz="0" w:space="0" w:color="auto"/>
                <w:left w:val="none" w:sz="0" w:space="0" w:color="auto"/>
                <w:bottom w:val="none" w:sz="0" w:space="0" w:color="auto"/>
                <w:right w:val="none" w:sz="0" w:space="0" w:color="auto"/>
              </w:divBdr>
            </w:div>
            <w:div w:id="273708375">
              <w:marLeft w:val="0"/>
              <w:marRight w:val="0"/>
              <w:marTop w:val="0"/>
              <w:marBottom w:val="0"/>
              <w:divBdr>
                <w:top w:val="none" w:sz="0" w:space="0" w:color="auto"/>
                <w:left w:val="none" w:sz="0" w:space="0" w:color="auto"/>
                <w:bottom w:val="none" w:sz="0" w:space="0" w:color="auto"/>
                <w:right w:val="none" w:sz="0" w:space="0" w:color="auto"/>
              </w:divBdr>
            </w:div>
            <w:div w:id="1131285714">
              <w:marLeft w:val="0"/>
              <w:marRight w:val="0"/>
              <w:marTop w:val="0"/>
              <w:marBottom w:val="0"/>
              <w:divBdr>
                <w:top w:val="none" w:sz="0" w:space="0" w:color="auto"/>
                <w:left w:val="none" w:sz="0" w:space="0" w:color="auto"/>
                <w:bottom w:val="none" w:sz="0" w:space="0" w:color="auto"/>
                <w:right w:val="none" w:sz="0" w:space="0" w:color="auto"/>
              </w:divBdr>
            </w:div>
            <w:div w:id="1910068766">
              <w:marLeft w:val="0"/>
              <w:marRight w:val="0"/>
              <w:marTop w:val="0"/>
              <w:marBottom w:val="0"/>
              <w:divBdr>
                <w:top w:val="none" w:sz="0" w:space="0" w:color="auto"/>
                <w:left w:val="none" w:sz="0" w:space="0" w:color="auto"/>
                <w:bottom w:val="none" w:sz="0" w:space="0" w:color="auto"/>
                <w:right w:val="none" w:sz="0" w:space="0" w:color="auto"/>
              </w:divBdr>
            </w:div>
          </w:divsChild>
        </w:div>
        <w:div w:id="1455366088">
          <w:marLeft w:val="0"/>
          <w:marRight w:val="0"/>
          <w:marTop w:val="0"/>
          <w:marBottom w:val="0"/>
          <w:divBdr>
            <w:top w:val="none" w:sz="0" w:space="0" w:color="auto"/>
            <w:left w:val="none" w:sz="0" w:space="0" w:color="auto"/>
            <w:bottom w:val="none" w:sz="0" w:space="0" w:color="auto"/>
            <w:right w:val="none" w:sz="0" w:space="0" w:color="auto"/>
          </w:divBdr>
          <w:divsChild>
            <w:div w:id="1760560270">
              <w:marLeft w:val="0"/>
              <w:marRight w:val="0"/>
              <w:marTop w:val="0"/>
              <w:marBottom w:val="0"/>
              <w:divBdr>
                <w:top w:val="none" w:sz="0" w:space="0" w:color="auto"/>
                <w:left w:val="none" w:sz="0" w:space="0" w:color="auto"/>
                <w:bottom w:val="none" w:sz="0" w:space="0" w:color="auto"/>
                <w:right w:val="none" w:sz="0" w:space="0" w:color="auto"/>
              </w:divBdr>
            </w:div>
          </w:divsChild>
        </w:div>
        <w:div w:id="1023555204">
          <w:marLeft w:val="0"/>
          <w:marRight w:val="0"/>
          <w:marTop w:val="0"/>
          <w:marBottom w:val="0"/>
          <w:divBdr>
            <w:top w:val="none" w:sz="0" w:space="0" w:color="auto"/>
            <w:left w:val="none" w:sz="0" w:space="0" w:color="auto"/>
            <w:bottom w:val="none" w:sz="0" w:space="0" w:color="auto"/>
            <w:right w:val="none" w:sz="0" w:space="0" w:color="auto"/>
          </w:divBdr>
          <w:divsChild>
            <w:div w:id="755397258">
              <w:marLeft w:val="0"/>
              <w:marRight w:val="0"/>
              <w:marTop w:val="0"/>
              <w:marBottom w:val="0"/>
              <w:divBdr>
                <w:top w:val="none" w:sz="0" w:space="0" w:color="auto"/>
                <w:left w:val="none" w:sz="0" w:space="0" w:color="auto"/>
                <w:bottom w:val="none" w:sz="0" w:space="0" w:color="auto"/>
                <w:right w:val="none" w:sz="0" w:space="0" w:color="auto"/>
              </w:divBdr>
            </w:div>
            <w:div w:id="843936225">
              <w:marLeft w:val="0"/>
              <w:marRight w:val="0"/>
              <w:marTop w:val="0"/>
              <w:marBottom w:val="0"/>
              <w:divBdr>
                <w:top w:val="none" w:sz="0" w:space="0" w:color="auto"/>
                <w:left w:val="none" w:sz="0" w:space="0" w:color="auto"/>
                <w:bottom w:val="none" w:sz="0" w:space="0" w:color="auto"/>
                <w:right w:val="none" w:sz="0" w:space="0" w:color="auto"/>
              </w:divBdr>
            </w:div>
            <w:div w:id="1845052546">
              <w:marLeft w:val="0"/>
              <w:marRight w:val="0"/>
              <w:marTop w:val="0"/>
              <w:marBottom w:val="0"/>
              <w:divBdr>
                <w:top w:val="none" w:sz="0" w:space="0" w:color="auto"/>
                <w:left w:val="none" w:sz="0" w:space="0" w:color="auto"/>
                <w:bottom w:val="none" w:sz="0" w:space="0" w:color="auto"/>
                <w:right w:val="none" w:sz="0" w:space="0" w:color="auto"/>
              </w:divBdr>
            </w:div>
            <w:div w:id="1258638979">
              <w:marLeft w:val="0"/>
              <w:marRight w:val="0"/>
              <w:marTop w:val="0"/>
              <w:marBottom w:val="0"/>
              <w:divBdr>
                <w:top w:val="none" w:sz="0" w:space="0" w:color="auto"/>
                <w:left w:val="none" w:sz="0" w:space="0" w:color="auto"/>
                <w:bottom w:val="none" w:sz="0" w:space="0" w:color="auto"/>
                <w:right w:val="none" w:sz="0" w:space="0" w:color="auto"/>
              </w:divBdr>
            </w:div>
            <w:div w:id="509176191">
              <w:marLeft w:val="0"/>
              <w:marRight w:val="0"/>
              <w:marTop w:val="0"/>
              <w:marBottom w:val="0"/>
              <w:divBdr>
                <w:top w:val="none" w:sz="0" w:space="0" w:color="auto"/>
                <w:left w:val="none" w:sz="0" w:space="0" w:color="auto"/>
                <w:bottom w:val="none" w:sz="0" w:space="0" w:color="auto"/>
                <w:right w:val="none" w:sz="0" w:space="0" w:color="auto"/>
              </w:divBdr>
            </w:div>
            <w:div w:id="1687247480">
              <w:marLeft w:val="0"/>
              <w:marRight w:val="0"/>
              <w:marTop w:val="0"/>
              <w:marBottom w:val="0"/>
              <w:divBdr>
                <w:top w:val="none" w:sz="0" w:space="0" w:color="auto"/>
                <w:left w:val="none" w:sz="0" w:space="0" w:color="auto"/>
                <w:bottom w:val="none" w:sz="0" w:space="0" w:color="auto"/>
                <w:right w:val="none" w:sz="0" w:space="0" w:color="auto"/>
              </w:divBdr>
            </w:div>
            <w:div w:id="1581669627">
              <w:marLeft w:val="0"/>
              <w:marRight w:val="0"/>
              <w:marTop w:val="0"/>
              <w:marBottom w:val="0"/>
              <w:divBdr>
                <w:top w:val="none" w:sz="0" w:space="0" w:color="auto"/>
                <w:left w:val="none" w:sz="0" w:space="0" w:color="auto"/>
                <w:bottom w:val="none" w:sz="0" w:space="0" w:color="auto"/>
                <w:right w:val="none" w:sz="0" w:space="0" w:color="auto"/>
              </w:divBdr>
            </w:div>
            <w:div w:id="1029139415">
              <w:marLeft w:val="0"/>
              <w:marRight w:val="0"/>
              <w:marTop w:val="0"/>
              <w:marBottom w:val="0"/>
              <w:divBdr>
                <w:top w:val="none" w:sz="0" w:space="0" w:color="auto"/>
                <w:left w:val="none" w:sz="0" w:space="0" w:color="auto"/>
                <w:bottom w:val="none" w:sz="0" w:space="0" w:color="auto"/>
                <w:right w:val="none" w:sz="0" w:space="0" w:color="auto"/>
              </w:divBdr>
            </w:div>
          </w:divsChild>
        </w:div>
        <w:div w:id="1479373290">
          <w:marLeft w:val="0"/>
          <w:marRight w:val="0"/>
          <w:marTop w:val="0"/>
          <w:marBottom w:val="0"/>
          <w:divBdr>
            <w:top w:val="none" w:sz="0" w:space="0" w:color="auto"/>
            <w:left w:val="none" w:sz="0" w:space="0" w:color="auto"/>
            <w:bottom w:val="none" w:sz="0" w:space="0" w:color="auto"/>
            <w:right w:val="none" w:sz="0" w:space="0" w:color="auto"/>
          </w:divBdr>
          <w:divsChild>
            <w:div w:id="2067947302">
              <w:marLeft w:val="0"/>
              <w:marRight w:val="0"/>
              <w:marTop w:val="0"/>
              <w:marBottom w:val="0"/>
              <w:divBdr>
                <w:top w:val="none" w:sz="0" w:space="0" w:color="auto"/>
                <w:left w:val="none" w:sz="0" w:space="0" w:color="auto"/>
                <w:bottom w:val="none" w:sz="0" w:space="0" w:color="auto"/>
                <w:right w:val="none" w:sz="0" w:space="0" w:color="auto"/>
              </w:divBdr>
            </w:div>
          </w:divsChild>
        </w:div>
        <w:div w:id="1609119188">
          <w:marLeft w:val="0"/>
          <w:marRight w:val="0"/>
          <w:marTop w:val="0"/>
          <w:marBottom w:val="0"/>
          <w:divBdr>
            <w:top w:val="none" w:sz="0" w:space="0" w:color="auto"/>
            <w:left w:val="none" w:sz="0" w:space="0" w:color="auto"/>
            <w:bottom w:val="none" w:sz="0" w:space="0" w:color="auto"/>
            <w:right w:val="none" w:sz="0" w:space="0" w:color="auto"/>
          </w:divBdr>
          <w:divsChild>
            <w:div w:id="778379139">
              <w:marLeft w:val="0"/>
              <w:marRight w:val="0"/>
              <w:marTop w:val="0"/>
              <w:marBottom w:val="0"/>
              <w:divBdr>
                <w:top w:val="none" w:sz="0" w:space="0" w:color="auto"/>
                <w:left w:val="none" w:sz="0" w:space="0" w:color="auto"/>
                <w:bottom w:val="none" w:sz="0" w:space="0" w:color="auto"/>
                <w:right w:val="none" w:sz="0" w:space="0" w:color="auto"/>
              </w:divBdr>
            </w:div>
            <w:div w:id="28923724">
              <w:marLeft w:val="0"/>
              <w:marRight w:val="0"/>
              <w:marTop w:val="0"/>
              <w:marBottom w:val="0"/>
              <w:divBdr>
                <w:top w:val="none" w:sz="0" w:space="0" w:color="auto"/>
                <w:left w:val="none" w:sz="0" w:space="0" w:color="auto"/>
                <w:bottom w:val="none" w:sz="0" w:space="0" w:color="auto"/>
                <w:right w:val="none" w:sz="0" w:space="0" w:color="auto"/>
              </w:divBdr>
            </w:div>
            <w:div w:id="315299759">
              <w:marLeft w:val="0"/>
              <w:marRight w:val="0"/>
              <w:marTop w:val="0"/>
              <w:marBottom w:val="0"/>
              <w:divBdr>
                <w:top w:val="none" w:sz="0" w:space="0" w:color="auto"/>
                <w:left w:val="none" w:sz="0" w:space="0" w:color="auto"/>
                <w:bottom w:val="none" w:sz="0" w:space="0" w:color="auto"/>
                <w:right w:val="none" w:sz="0" w:space="0" w:color="auto"/>
              </w:divBdr>
            </w:div>
            <w:div w:id="359933755">
              <w:marLeft w:val="0"/>
              <w:marRight w:val="0"/>
              <w:marTop w:val="0"/>
              <w:marBottom w:val="0"/>
              <w:divBdr>
                <w:top w:val="none" w:sz="0" w:space="0" w:color="auto"/>
                <w:left w:val="none" w:sz="0" w:space="0" w:color="auto"/>
                <w:bottom w:val="none" w:sz="0" w:space="0" w:color="auto"/>
                <w:right w:val="none" w:sz="0" w:space="0" w:color="auto"/>
              </w:divBdr>
            </w:div>
            <w:div w:id="414059688">
              <w:marLeft w:val="0"/>
              <w:marRight w:val="0"/>
              <w:marTop w:val="0"/>
              <w:marBottom w:val="0"/>
              <w:divBdr>
                <w:top w:val="none" w:sz="0" w:space="0" w:color="auto"/>
                <w:left w:val="none" w:sz="0" w:space="0" w:color="auto"/>
                <w:bottom w:val="none" w:sz="0" w:space="0" w:color="auto"/>
                <w:right w:val="none" w:sz="0" w:space="0" w:color="auto"/>
              </w:divBdr>
            </w:div>
            <w:div w:id="32461100">
              <w:marLeft w:val="0"/>
              <w:marRight w:val="0"/>
              <w:marTop w:val="0"/>
              <w:marBottom w:val="0"/>
              <w:divBdr>
                <w:top w:val="none" w:sz="0" w:space="0" w:color="auto"/>
                <w:left w:val="none" w:sz="0" w:space="0" w:color="auto"/>
                <w:bottom w:val="none" w:sz="0" w:space="0" w:color="auto"/>
                <w:right w:val="none" w:sz="0" w:space="0" w:color="auto"/>
              </w:divBdr>
            </w:div>
            <w:div w:id="467087868">
              <w:marLeft w:val="0"/>
              <w:marRight w:val="0"/>
              <w:marTop w:val="0"/>
              <w:marBottom w:val="0"/>
              <w:divBdr>
                <w:top w:val="none" w:sz="0" w:space="0" w:color="auto"/>
                <w:left w:val="none" w:sz="0" w:space="0" w:color="auto"/>
                <w:bottom w:val="none" w:sz="0" w:space="0" w:color="auto"/>
                <w:right w:val="none" w:sz="0" w:space="0" w:color="auto"/>
              </w:divBdr>
            </w:div>
            <w:div w:id="383679709">
              <w:marLeft w:val="0"/>
              <w:marRight w:val="0"/>
              <w:marTop w:val="0"/>
              <w:marBottom w:val="0"/>
              <w:divBdr>
                <w:top w:val="none" w:sz="0" w:space="0" w:color="auto"/>
                <w:left w:val="none" w:sz="0" w:space="0" w:color="auto"/>
                <w:bottom w:val="none" w:sz="0" w:space="0" w:color="auto"/>
                <w:right w:val="none" w:sz="0" w:space="0" w:color="auto"/>
              </w:divBdr>
            </w:div>
          </w:divsChild>
        </w:div>
        <w:div w:id="212349613">
          <w:marLeft w:val="0"/>
          <w:marRight w:val="0"/>
          <w:marTop w:val="0"/>
          <w:marBottom w:val="0"/>
          <w:divBdr>
            <w:top w:val="none" w:sz="0" w:space="0" w:color="auto"/>
            <w:left w:val="none" w:sz="0" w:space="0" w:color="auto"/>
            <w:bottom w:val="none" w:sz="0" w:space="0" w:color="auto"/>
            <w:right w:val="none" w:sz="0" w:space="0" w:color="auto"/>
          </w:divBdr>
          <w:divsChild>
            <w:div w:id="561913351">
              <w:marLeft w:val="0"/>
              <w:marRight w:val="0"/>
              <w:marTop w:val="0"/>
              <w:marBottom w:val="0"/>
              <w:divBdr>
                <w:top w:val="none" w:sz="0" w:space="0" w:color="auto"/>
                <w:left w:val="none" w:sz="0" w:space="0" w:color="auto"/>
                <w:bottom w:val="none" w:sz="0" w:space="0" w:color="auto"/>
                <w:right w:val="none" w:sz="0" w:space="0" w:color="auto"/>
              </w:divBdr>
            </w:div>
          </w:divsChild>
        </w:div>
        <w:div w:id="199902588">
          <w:marLeft w:val="0"/>
          <w:marRight w:val="0"/>
          <w:marTop w:val="0"/>
          <w:marBottom w:val="0"/>
          <w:divBdr>
            <w:top w:val="none" w:sz="0" w:space="0" w:color="auto"/>
            <w:left w:val="none" w:sz="0" w:space="0" w:color="auto"/>
            <w:bottom w:val="none" w:sz="0" w:space="0" w:color="auto"/>
            <w:right w:val="none" w:sz="0" w:space="0" w:color="auto"/>
          </w:divBdr>
          <w:divsChild>
            <w:div w:id="1300186712">
              <w:marLeft w:val="0"/>
              <w:marRight w:val="0"/>
              <w:marTop w:val="0"/>
              <w:marBottom w:val="0"/>
              <w:divBdr>
                <w:top w:val="none" w:sz="0" w:space="0" w:color="auto"/>
                <w:left w:val="none" w:sz="0" w:space="0" w:color="auto"/>
                <w:bottom w:val="none" w:sz="0" w:space="0" w:color="auto"/>
                <w:right w:val="none" w:sz="0" w:space="0" w:color="auto"/>
              </w:divBdr>
            </w:div>
            <w:div w:id="848375349">
              <w:marLeft w:val="0"/>
              <w:marRight w:val="0"/>
              <w:marTop w:val="0"/>
              <w:marBottom w:val="0"/>
              <w:divBdr>
                <w:top w:val="none" w:sz="0" w:space="0" w:color="auto"/>
                <w:left w:val="none" w:sz="0" w:space="0" w:color="auto"/>
                <w:bottom w:val="none" w:sz="0" w:space="0" w:color="auto"/>
                <w:right w:val="none" w:sz="0" w:space="0" w:color="auto"/>
              </w:divBdr>
            </w:div>
            <w:div w:id="945691173">
              <w:marLeft w:val="0"/>
              <w:marRight w:val="0"/>
              <w:marTop w:val="0"/>
              <w:marBottom w:val="0"/>
              <w:divBdr>
                <w:top w:val="none" w:sz="0" w:space="0" w:color="auto"/>
                <w:left w:val="none" w:sz="0" w:space="0" w:color="auto"/>
                <w:bottom w:val="none" w:sz="0" w:space="0" w:color="auto"/>
                <w:right w:val="none" w:sz="0" w:space="0" w:color="auto"/>
              </w:divBdr>
            </w:div>
            <w:div w:id="29720138">
              <w:marLeft w:val="0"/>
              <w:marRight w:val="0"/>
              <w:marTop w:val="0"/>
              <w:marBottom w:val="0"/>
              <w:divBdr>
                <w:top w:val="none" w:sz="0" w:space="0" w:color="auto"/>
                <w:left w:val="none" w:sz="0" w:space="0" w:color="auto"/>
                <w:bottom w:val="none" w:sz="0" w:space="0" w:color="auto"/>
                <w:right w:val="none" w:sz="0" w:space="0" w:color="auto"/>
              </w:divBdr>
            </w:div>
            <w:div w:id="2058696614">
              <w:marLeft w:val="0"/>
              <w:marRight w:val="0"/>
              <w:marTop w:val="0"/>
              <w:marBottom w:val="0"/>
              <w:divBdr>
                <w:top w:val="none" w:sz="0" w:space="0" w:color="auto"/>
                <w:left w:val="none" w:sz="0" w:space="0" w:color="auto"/>
                <w:bottom w:val="none" w:sz="0" w:space="0" w:color="auto"/>
                <w:right w:val="none" w:sz="0" w:space="0" w:color="auto"/>
              </w:divBdr>
            </w:div>
            <w:div w:id="1627664161">
              <w:marLeft w:val="0"/>
              <w:marRight w:val="0"/>
              <w:marTop w:val="0"/>
              <w:marBottom w:val="0"/>
              <w:divBdr>
                <w:top w:val="none" w:sz="0" w:space="0" w:color="auto"/>
                <w:left w:val="none" w:sz="0" w:space="0" w:color="auto"/>
                <w:bottom w:val="none" w:sz="0" w:space="0" w:color="auto"/>
                <w:right w:val="none" w:sz="0" w:space="0" w:color="auto"/>
              </w:divBdr>
            </w:div>
            <w:div w:id="667947439">
              <w:marLeft w:val="0"/>
              <w:marRight w:val="0"/>
              <w:marTop w:val="0"/>
              <w:marBottom w:val="0"/>
              <w:divBdr>
                <w:top w:val="none" w:sz="0" w:space="0" w:color="auto"/>
                <w:left w:val="none" w:sz="0" w:space="0" w:color="auto"/>
                <w:bottom w:val="none" w:sz="0" w:space="0" w:color="auto"/>
                <w:right w:val="none" w:sz="0" w:space="0" w:color="auto"/>
              </w:divBdr>
            </w:div>
            <w:div w:id="1813869573">
              <w:marLeft w:val="0"/>
              <w:marRight w:val="0"/>
              <w:marTop w:val="0"/>
              <w:marBottom w:val="0"/>
              <w:divBdr>
                <w:top w:val="none" w:sz="0" w:space="0" w:color="auto"/>
                <w:left w:val="none" w:sz="0" w:space="0" w:color="auto"/>
                <w:bottom w:val="none" w:sz="0" w:space="0" w:color="auto"/>
                <w:right w:val="none" w:sz="0" w:space="0" w:color="auto"/>
              </w:divBdr>
            </w:div>
          </w:divsChild>
        </w:div>
        <w:div w:id="482623442">
          <w:marLeft w:val="0"/>
          <w:marRight w:val="0"/>
          <w:marTop w:val="0"/>
          <w:marBottom w:val="0"/>
          <w:divBdr>
            <w:top w:val="none" w:sz="0" w:space="0" w:color="auto"/>
            <w:left w:val="none" w:sz="0" w:space="0" w:color="auto"/>
            <w:bottom w:val="none" w:sz="0" w:space="0" w:color="auto"/>
            <w:right w:val="none" w:sz="0" w:space="0" w:color="auto"/>
          </w:divBdr>
          <w:divsChild>
            <w:div w:id="1156414633">
              <w:marLeft w:val="0"/>
              <w:marRight w:val="0"/>
              <w:marTop w:val="0"/>
              <w:marBottom w:val="0"/>
              <w:divBdr>
                <w:top w:val="none" w:sz="0" w:space="0" w:color="auto"/>
                <w:left w:val="none" w:sz="0" w:space="0" w:color="auto"/>
                <w:bottom w:val="none" w:sz="0" w:space="0" w:color="auto"/>
                <w:right w:val="none" w:sz="0" w:space="0" w:color="auto"/>
              </w:divBdr>
            </w:div>
          </w:divsChild>
        </w:div>
        <w:div w:id="235941896">
          <w:marLeft w:val="0"/>
          <w:marRight w:val="0"/>
          <w:marTop w:val="0"/>
          <w:marBottom w:val="0"/>
          <w:divBdr>
            <w:top w:val="none" w:sz="0" w:space="0" w:color="auto"/>
            <w:left w:val="none" w:sz="0" w:space="0" w:color="auto"/>
            <w:bottom w:val="none" w:sz="0" w:space="0" w:color="auto"/>
            <w:right w:val="none" w:sz="0" w:space="0" w:color="auto"/>
          </w:divBdr>
          <w:divsChild>
            <w:div w:id="946816732">
              <w:marLeft w:val="0"/>
              <w:marRight w:val="0"/>
              <w:marTop w:val="0"/>
              <w:marBottom w:val="0"/>
              <w:divBdr>
                <w:top w:val="none" w:sz="0" w:space="0" w:color="auto"/>
                <w:left w:val="none" w:sz="0" w:space="0" w:color="auto"/>
                <w:bottom w:val="none" w:sz="0" w:space="0" w:color="auto"/>
                <w:right w:val="none" w:sz="0" w:space="0" w:color="auto"/>
              </w:divBdr>
            </w:div>
            <w:div w:id="2145155395">
              <w:marLeft w:val="0"/>
              <w:marRight w:val="0"/>
              <w:marTop w:val="0"/>
              <w:marBottom w:val="0"/>
              <w:divBdr>
                <w:top w:val="none" w:sz="0" w:space="0" w:color="auto"/>
                <w:left w:val="none" w:sz="0" w:space="0" w:color="auto"/>
                <w:bottom w:val="none" w:sz="0" w:space="0" w:color="auto"/>
                <w:right w:val="none" w:sz="0" w:space="0" w:color="auto"/>
              </w:divBdr>
            </w:div>
            <w:div w:id="519398564">
              <w:marLeft w:val="0"/>
              <w:marRight w:val="0"/>
              <w:marTop w:val="0"/>
              <w:marBottom w:val="0"/>
              <w:divBdr>
                <w:top w:val="none" w:sz="0" w:space="0" w:color="auto"/>
                <w:left w:val="none" w:sz="0" w:space="0" w:color="auto"/>
                <w:bottom w:val="none" w:sz="0" w:space="0" w:color="auto"/>
                <w:right w:val="none" w:sz="0" w:space="0" w:color="auto"/>
              </w:divBdr>
            </w:div>
            <w:div w:id="152646826">
              <w:marLeft w:val="0"/>
              <w:marRight w:val="0"/>
              <w:marTop w:val="0"/>
              <w:marBottom w:val="0"/>
              <w:divBdr>
                <w:top w:val="none" w:sz="0" w:space="0" w:color="auto"/>
                <w:left w:val="none" w:sz="0" w:space="0" w:color="auto"/>
                <w:bottom w:val="none" w:sz="0" w:space="0" w:color="auto"/>
                <w:right w:val="none" w:sz="0" w:space="0" w:color="auto"/>
              </w:divBdr>
            </w:div>
            <w:div w:id="1879321191">
              <w:marLeft w:val="0"/>
              <w:marRight w:val="0"/>
              <w:marTop w:val="0"/>
              <w:marBottom w:val="0"/>
              <w:divBdr>
                <w:top w:val="none" w:sz="0" w:space="0" w:color="auto"/>
                <w:left w:val="none" w:sz="0" w:space="0" w:color="auto"/>
                <w:bottom w:val="none" w:sz="0" w:space="0" w:color="auto"/>
                <w:right w:val="none" w:sz="0" w:space="0" w:color="auto"/>
              </w:divBdr>
            </w:div>
            <w:div w:id="1159659681">
              <w:marLeft w:val="0"/>
              <w:marRight w:val="0"/>
              <w:marTop w:val="0"/>
              <w:marBottom w:val="0"/>
              <w:divBdr>
                <w:top w:val="none" w:sz="0" w:space="0" w:color="auto"/>
                <w:left w:val="none" w:sz="0" w:space="0" w:color="auto"/>
                <w:bottom w:val="none" w:sz="0" w:space="0" w:color="auto"/>
                <w:right w:val="none" w:sz="0" w:space="0" w:color="auto"/>
              </w:divBdr>
            </w:div>
            <w:div w:id="890270630">
              <w:marLeft w:val="0"/>
              <w:marRight w:val="0"/>
              <w:marTop w:val="0"/>
              <w:marBottom w:val="0"/>
              <w:divBdr>
                <w:top w:val="none" w:sz="0" w:space="0" w:color="auto"/>
                <w:left w:val="none" w:sz="0" w:space="0" w:color="auto"/>
                <w:bottom w:val="none" w:sz="0" w:space="0" w:color="auto"/>
                <w:right w:val="none" w:sz="0" w:space="0" w:color="auto"/>
              </w:divBdr>
            </w:div>
            <w:div w:id="1482113633">
              <w:marLeft w:val="0"/>
              <w:marRight w:val="0"/>
              <w:marTop w:val="0"/>
              <w:marBottom w:val="0"/>
              <w:divBdr>
                <w:top w:val="none" w:sz="0" w:space="0" w:color="auto"/>
                <w:left w:val="none" w:sz="0" w:space="0" w:color="auto"/>
                <w:bottom w:val="none" w:sz="0" w:space="0" w:color="auto"/>
                <w:right w:val="none" w:sz="0" w:space="0" w:color="auto"/>
              </w:divBdr>
            </w:div>
          </w:divsChild>
        </w:div>
        <w:div w:id="146408724">
          <w:marLeft w:val="0"/>
          <w:marRight w:val="0"/>
          <w:marTop w:val="0"/>
          <w:marBottom w:val="0"/>
          <w:divBdr>
            <w:top w:val="none" w:sz="0" w:space="0" w:color="auto"/>
            <w:left w:val="none" w:sz="0" w:space="0" w:color="auto"/>
            <w:bottom w:val="none" w:sz="0" w:space="0" w:color="auto"/>
            <w:right w:val="none" w:sz="0" w:space="0" w:color="auto"/>
          </w:divBdr>
          <w:divsChild>
            <w:div w:id="1129588382">
              <w:marLeft w:val="0"/>
              <w:marRight w:val="0"/>
              <w:marTop w:val="0"/>
              <w:marBottom w:val="0"/>
              <w:divBdr>
                <w:top w:val="none" w:sz="0" w:space="0" w:color="auto"/>
                <w:left w:val="none" w:sz="0" w:space="0" w:color="auto"/>
                <w:bottom w:val="none" w:sz="0" w:space="0" w:color="auto"/>
                <w:right w:val="none" w:sz="0" w:space="0" w:color="auto"/>
              </w:divBdr>
            </w:div>
          </w:divsChild>
        </w:div>
        <w:div w:id="1800420325">
          <w:marLeft w:val="0"/>
          <w:marRight w:val="0"/>
          <w:marTop w:val="0"/>
          <w:marBottom w:val="0"/>
          <w:divBdr>
            <w:top w:val="none" w:sz="0" w:space="0" w:color="auto"/>
            <w:left w:val="none" w:sz="0" w:space="0" w:color="auto"/>
            <w:bottom w:val="none" w:sz="0" w:space="0" w:color="auto"/>
            <w:right w:val="none" w:sz="0" w:space="0" w:color="auto"/>
          </w:divBdr>
          <w:divsChild>
            <w:div w:id="1060327650">
              <w:marLeft w:val="0"/>
              <w:marRight w:val="0"/>
              <w:marTop w:val="0"/>
              <w:marBottom w:val="0"/>
              <w:divBdr>
                <w:top w:val="none" w:sz="0" w:space="0" w:color="auto"/>
                <w:left w:val="none" w:sz="0" w:space="0" w:color="auto"/>
                <w:bottom w:val="none" w:sz="0" w:space="0" w:color="auto"/>
                <w:right w:val="none" w:sz="0" w:space="0" w:color="auto"/>
              </w:divBdr>
            </w:div>
            <w:div w:id="546911853">
              <w:marLeft w:val="0"/>
              <w:marRight w:val="0"/>
              <w:marTop w:val="0"/>
              <w:marBottom w:val="0"/>
              <w:divBdr>
                <w:top w:val="none" w:sz="0" w:space="0" w:color="auto"/>
                <w:left w:val="none" w:sz="0" w:space="0" w:color="auto"/>
                <w:bottom w:val="none" w:sz="0" w:space="0" w:color="auto"/>
                <w:right w:val="none" w:sz="0" w:space="0" w:color="auto"/>
              </w:divBdr>
            </w:div>
            <w:div w:id="209345288">
              <w:marLeft w:val="0"/>
              <w:marRight w:val="0"/>
              <w:marTop w:val="0"/>
              <w:marBottom w:val="0"/>
              <w:divBdr>
                <w:top w:val="none" w:sz="0" w:space="0" w:color="auto"/>
                <w:left w:val="none" w:sz="0" w:space="0" w:color="auto"/>
                <w:bottom w:val="none" w:sz="0" w:space="0" w:color="auto"/>
                <w:right w:val="none" w:sz="0" w:space="0" w:color="auto"/>
              </w:divBdr>
            </w:div>
            <w:div w:id="1654017956">
              <w:marLeft w:val="0"/>
              <w:marRight w:val="0"/>
              <w:marTop w:val="0"/>
              <w:marBottom w:val="0"/>
              <w:divBdr>
                <w:top w:val="none" w:sz="0" w:space="0" w:color="auto"/>
                <w:left w:val="none" w:sz="0" w:space="0" w:color="auto"/>
                <w:bottom w:val="none" w:sz="0" w:space="0" w:color="auto"/>
                <w:right w:val="none" w:sz="0" w:space="0" w:color="auto"/>
              </w:divBdr>
            </w:div>
            <w:div w:id="1563563115">
              <w:marLeft w:val="0"/>
              <w:marRight w:val="0"/>
              <w:marTop w:val="0"/>
              <w:marBottom w:val="0"/>
              <w:divBdr>
                <w:top w:val="none" w:sz="0" w:space="0" w:color="auto"/>
                <w:left w:val="none" w:sz="0" w:space="0" w:color="auto"/>
                <w:bottom w:val="none" w:sz="0" w:space="0" w:color="auto"/>
                <w:right w:val="none" w:sz="0" w:space="0" w:color="auto"/>
              </w:divBdr>
            </w:div>
            <w:div w:id="1733112450">
              <w:marLeft w:val="0"/>
              <w:marRight w:val="0"/>
              <w:marTop w:val="0"/>
              <w:marBottom w:val="0"/>
              <w:divBdr>
                <w:top w:val="none" w:sz="0" w:space="0" w:color="auto"/>
                <w:left w:val="none" w:sz="0" w:space="0" w:color="auto"/>
                <w:bottom w:val="none" w:sz="0" w:space="0" w:color="auto"/>
                <w:right w:val="none" w:sz="0" w:space="0" w:color="auto"/>
              </w:divBdr>
            </w:div>
            <w:div w:id="994457467">
              <w:marLeft w:val="0"/>
              <w:marRight w:val="0"/>
              <w:marTop w:val="0"/>
              <w:marBottom w:val="0"/>
              <w:divBdr>
                <w:top w:val="none" w:sz="0" w:space="0" w:color="auto"/>
                <w:left w:val="none" w:sz="0" w:space="0" w:color="auto"/>
                <w:bottom w:val="none" w:sz="0" w:space="0" w:color="auto"/>
                <w:right w:val="none" w:sz="0" w:space="0" w:color="auto"/>
              </w:divBdr>
            </w:div>
            <w:div w:id="1955480189">
              <w:marLeft w:val="0"/>
              <w:marRight w:val="0"/>
              <w:marTop w:val="0"/>
              <w:marBottom w:val="0"/>
              <w:divBdr>
                <w:top w:val="none" w:sz="0" w:space="0" w:color="auto"/>
                <w:left w:val="none" w:sz="0" w:space="0" w:color="auto"/>
                <w:bottom w:val="none" w:sz="0" w:space="0" w:color="auto"/>
                <w:right w:val="none" w:sz="0" w:space="0" w:color="auto"/>
              </w:divBdr>
            </w:div>
            <w:div w:id="1264727407">
              <w:marLeft w:val="0"/>
              <w:marRight w:val="0"/>
              <w:marTop w:val="0"/>
              <w:marBottom w:val="0"/>
              <w:divBdr>
                <w:top w:val="none" w:sz="0" w:space="0" w:color="auto"/>
                <w:left w:val="none" w:sz="0" w:space="0" w:color="auto"/>
                <w:bottom w:val="none" w:sz="0" w:space="0" w:color="auto"/>
                <w:right w:val="none" w:sz="0" w:space="0" w:color="auto"/>
              </w:divBdr>
            </w:div>
            <w:div w:id="2079597373">
              <w:marLeft w:val="0"/>
              <w:marRight w:val="0"/>
              <w:marTop w:val="0"/>
              <w:marBottom w:val="0"/>
              <w:divBdr>
                <w:top w:val="none" w:sz="0" w:space="0" w:color="auto"/>
                <w:left w:val="none" w:sz="0" w:space="0" w:color="auto"/>
                <w:bottom w:val="none" w:sz="0" w:space="0" w:color="auto"/>
                <w:right w:val="none" w:sz="0" w:space="0" w:color="auto"/>
              </w:divBdr>
            </w:div>
          </w:divsChild>
        </w:div>
        <w:div w:id="32001515">
          <w:marLeft w:val="0"/>
          <w:marRight w:val="0"/>
          <w:marTop w:val="0"/>
          <w:marBottom w:val="0"/>
          <w:divBdr>
            <w:top w:val="none" w:sz="0" w:space="0" w:color="auto"/>
            <w:left w:val="none" w:sz="0" w:space="0" w:color="auto"/>
            <w:bottom w:val="none" w:sz="0" w:space="0" w:color="auto"/>
            <w:right w:val="none" w:sz="0" w:space="0" w:color="auto"/>
          </w:divBdr>
          <w:divsChild>
            <w:div w:id="1559895526">
              <w:marLeft w:val="0"/>
              <w:marRight w:val="0"/>
              <w:marTop w:val="0"/>
              <w:marBottom w:val="0"/>
              <w:divBdr>
                <w:top w:val="none" w:sz="0" w:space="0" w:color="auto"/>
                <w:left w:val="none" w:sz="0" w:space="0" w:color="auto"/>
                <w:bottom w:val="none" w:sz="0" w:space="0" w:color="auto"/>
                <w:right w:val="none" w:sz="0" w:space="0" w:color="auto"/>
              </w:divBdr>
            </w:div>
          </w:divsChild>
        </w:div>
        <w:div w:id="1567764732">
          <w:marLeft w:val="0"/>
          <w:marRight w:val="0"/>
          <w:marTop w:val="0"/>
          <w:marBottom w:val="0"/>
          <w:divBdr>
            <w:top w:val="none" w:sz="0" w:space="0" w:color="auto"/>
            <w:left w:val="none" w:sz="0" w:space="0" w:color="auto"/>
            <w:bottom w:val="none" w:sz="0" w:space="0" w:color="auto"/>
            <w:right w:val="none" w:sz="0" w:space="0" w:color="auto"/>
          </w:divBdr>
          <w:divsChild>
            <w:div w:id="1833133070">
              <w:marLeft w:val="0"/>
              <w:marRight w:val="0"/>
              <w:marTop w:val="0"/>
              <w:marBottom w:val="0"/>
              <w:divBdr>
                <w:top w:val="none" w:sz="0" w:space="0" w:color="auto"/>
                <w:left w:val="none" w:sz="0" w:space="0" w:color="auto"/>
                <w:bottom w:val="none" w:sz="0" w:space="0" w:color="auto"/>
                <w:right w:val="none" w:sz="0" w:space="0" w:color="auto"/>
              </w:divBdr>
            </w:div>
            <w:div w:id="495539751">
              <w:marLeft w:val="0"/>
              <w:marRight w:val="0"/>
              <w:marTop w:val="0"/>
              <w:marBottom w:val="0"/>
              <w:divBdr>
                <w:top w:val="none" w:sz="0" w:space="0" w:color="auto"/>
                <w:left w:val="none" w:sz="0" w:space="0" w:color="auto"/>
                <w:bottom w:val="none" w:sz="0" w:space="0" w:color="auto"/>
                <w:right w:val="none" w:sz="0" w:space="0" w:color="auto"/>
              </w:divBdr>
            </w:div>
            <w:div w:id="636497598">
              <w:marLeft w:val="0"/>
              <w:marRight w:val="0"/>
              <w:marTop w:val="0"/>
              <w:marBottom w:val="0"/>
              <w:divBdr>
                <w:top w:val="none" w:sz="0" w:space="0" w:color="auto"/>
                <w:left w:val="none" w:sz="0" w:space="0" w:color="auto"/>
                <w:bottom w:val="none" w:sz="0" w:space="0" w:color="auto"/>
                <w:right w:val="none" w:sz="0" w:space="0" w:color="auto"/>
              </w:divBdr>
            </w:div>
            <w:div w:id="1294217310">
              <w:marLeft w:val="0"/>
              <w:marRight w:val="0"/>
              <w:marTop w:val="0"/>
              <w:marBottom w:val="0"/>
              <w:divBdr>
                <w:top w:val="none" w:sz="0" w:space="0" w:color="auto"/>
                <w:left w:val="none" w:sz="0" w:space="0" w:color="auto"/>
                <w:bottom w:val="none" w:sz="0" w:space="0" w:color="auto"/>
                <w:right w:val="none" w:sz="0" w:space="0" w:color="auto"/>
              </w:divBdr>
            </w:div>
            <w:div w:id="377632648">
              <w:marLeft w:val="0"/>
              <w:marRight w:val="0"/>
              <w:marTop w:val="0"/>
              <w:marBottom w:val="0"/>
              <w:divBdr>
                <w:top w:val="none" w:sz="0" w:space="0" w:color="auto"/>
                <w:left w:val="none" w:sz="0" w:space="0" w:color="auto"/>
                <w:bottom w:val="none" w:sz="0" w:space="0" w:color="auto"/>
                <w:right w:val="none" w:sz="0" w:space="0" w:color="auto"/>
              </w:divBdr>
            </w:div>
            <w:div w:id="66390124">
              <w:marLeft w:val="0"/>
              <w:marRight w:val="0"/>
              <w:marTop w:val="0"/>
              <w:marBottom w:val="0"/>
              <w:divBdr>
                <w:top w:val="none" w:sz="0" w:space="0" w:color="auto"/>
                <w:left w:val="none" w:sz="0" w:space="0" w:color="auto"/>
                <w:bottom w:val="none" w:sz="0" w:space="0" w:color="auto"/>
                <w:right w:val="none" w:sz="0" w:space="0" w:color="auto"/>
              </w:divBdr>
            </w:div>
            <w:div w:id="854340785">
              <w:marLeft w:val="0"/>
              <w:marRight w:val="0"/>
              <w:marTop w:val="0"/>
              <w:marBottom w:val="0"/>
              <w:divBdr>
                <w:top w:val="none" w:sz="0" w:space="0" w:color="auto"/>
                <w:left w:val="none" w:sz="0" w:space="0" w:color="auto"/>
                <w:bottom w:val="none" w:sz="0" w:space="0" w:color="auto"/>
                <w:right w:val="none" w:sz="0" w:space="0" w:color="auto"/>
              </w:divBdr>
            </w:div>
            <w:div w:id="231354932">
              <w:marLeft w:val="0"/>
              <w:marRight w:val="0"/>
              <w:marTop w:val="0"/>
              <w:marBottom w:val="0"/>
              <w:divBdr>
                <w:top w:val="none" w:sz="0" w:space="0" w:color="auto"/>
                <w:left w:val="none" w:sz="0" w:space="0" w:color="auto"/>
                <w:bottom w:val="none" w:sz="0" w:space="0" w:color="auto"/>
                <w:right w:val="none" w:sz="0" w:space="0" w:color="auto"/>
              </w:divBdr>
            </w:div>
            <w:div w:id="170026792">
              <w:marLeft w:val="0"/>
              <w:marRight w:val="0"/>
              <w:marTop w:val="0"/>
              <w:marBottom w:val="0"/>
              <w:divBdr>
                <w:top w:val="none" w:sz="0" w:space="0" w:color="auto"/>
                <w:left w:val="none" w:sz="0" w:space="0" w:color="auto"/>
                <w:bottom w:val="none" w:sz="0" w:space="0" w:color="auto"/>
                <w:right w:val="none" w:sz="0" w:space="0" w:color="auto"/>
              </w:divBdr>
            </w:div>
            <w:div w:id="475298593">
              <w:marLeft w:val="0"/>
              <w:marRight w:val="0"/>
              <w:marTop w:val="0"/>
              <w:marBottom w:val="0"/>
              <w:divBdr>
                <w:top w:val="none" w:sz="0" w:space="0" w:color="auto"/>
                <w:left w:val="none" w:sz="0" w:space="0" w:color="auto"/>
                <w:bottom w:val="none" w:sz="0" w:space="0" w:color="auto"/>
                <w:right w:val="none" w:sz="0" w:space="0" w:color="auto"/>
              </w:divBdr>
            </w:div>
            <w:div w:id="1623267135">
              <w:marLeft w:val="0"/>
              <w:marRight w:val="0"/>
              <w:marTop w:val="0"/>
              <w:marBottom w:val="0"/>
              <w:divBdr>
                <w:top w:val="none" w:sz="0" w:space="0" w:color="auto"/>
                <w:left w:val="none" w:sz="0" w:space="0" w:color="auto"/>
                <w:bottom w:val="none" w:sz="0" w:space="0" w:color="auto"/>
                <w:right w:val="none" w:sz="0" w:space="0" w:color="auto"/>
              </w:divBdr>
            </w:div>
            <w:div w:id="1450202294">
              <w:marLeft w:val="0"/>
              <w:marRight w:val="0"/>
              <w:marTop w:val="0"/>
              <w:marBottom w:val="0"/>
              <w:divBdr>
                <w:top w:val="none" w:sz="0" w:space="0" w:color="auto"/>
                <w:left w:val="none" w:sz="0" w:space="0" w:color="auto"/>
                <w:bottom w:val="none" w:sz="0" w:space="0" w:color="auto"/>
                <w:right w:val="none" w:sz="0" w:space="0" w:color="auto"/>
              </w:divBdr>
            </w:div>
          </w:divsChild>
        </w:div>
        <w:div w:id="513880681">
          <w:marLeft w:val="0"/>
          <w:marRight w:val="0"/>
          <w:marTop w:val="0"/>
          <w:marBottom w:val="0"/>
          <w:divBdr>
            <w:top w:val="none" w:sz="0" w:space="0" w:color="auto"/>
            <w:left w:val="none" w:sz="0" w:space="0" w:color="auto"/>
            <w:bottom w:val="none" w:sz="0" w:space="0" w:color="auto"/>
            <w:right w:val="none" w:sz="0" w:space="0" w:color="auto"/>
          </w:divBdr>
          <w:divsChild>
            <w:div w:id="1339692401">
              <w:marLeft w:val="0"/>
              <w:marRight w:val="0"/>
              <w:marTop w:val="0"/>
              <w:marBottom w:val="0"/>
              <w:divBdr>
                <w:top w:val="none" w:sz="0" w:space="0" w:color="auto"/>
                <w:left w:val="none" w:sz="0" w:space="0" w:color="auto"/>
                <w:bottom w:val="none" w:sz="0" w:space="0" w:color="auto"/>
                <w:right w:val="none" w:sz="0" w:space="0" w:color="auto"/>
              </w:divBdr>
            </w:div>
          </w:divsChild>
        </w:div>
        <w:div w:id="794636300">
          <w:marLeft w:val="0"/>
          <w:marRight w:val="0"/>
          <w:marTop w:val="0"/>
          <w:marBottom w:val="0"/>
          <w:divBdr>
            <w:top w:val="none" w:sz="0" w:space="0" w:color="auto"/>
            <w:left w:val="none" w:sz="0" w:space="0" w:color="auto"/>
            <w:bottom w:val="none" w:sz="0" w:space="0" w:color="auto"/>
            <w:right w:val="none" w:sz="0" w:space="0" w:color="auto"/>
          </w:divBdr>
          <w:divsChild>
            <w:div w:id="2000420942">
              <w:marLeft w:val="0"/>
              <w:marRight w:val="0"/>
              <w:marTop w:val="0"/>
              <w:marBottom w:val="0"/>
              <w:divBdr>
                <w:top w:val="none" w:sz="0" w:space="0" w:color="auto"/>
                <w:left w:val="none" w:sz="0" w:space="0" w:color="auto"/>
                <w:bottom w:val="none" w:sz="0" w:space="0" w:color="auto"/>
                <w:right w:val="none" w:sz="0" w:space="0" w:color="auto"/>
              </w:divBdr>
            </w:div>
            <w:div w:id="1251546284">
              <w:marLeft w:val="0"/>
              <w:marRight w:val="0"/>
              <w:marTop w:val="0"/>
              <w:marBottom w:val="0"/>
              <w:divBdr>
                <w:top w:val="none" w:sz="0" w:space="0" w:color="auto"/>
                <w:left w:val="none" w:sz="0" w:space="0" w:color="auto"/>
                <w:bottom w:val="none" w:sz="0" w:space="0" w:color="auto"/>
                <w:right w:val="none" w:sz="0" w:space="0" w:color="auto"/>
              </w:divBdr>
            </w:div>
            <w:div w:id="547689906">
              <w:marLeft w:val="0"/>
              <w:marRight w:val="0"/>
              <w:marTop w:val="0"/>
              <w:marBottom w:val="0"/>
              <w:divBdr>
                <w:top w:val="none" w:sz="0" w:space="0" w:color="auto"/>
                <w:left w:val="none" w:sz="0" w:space="0" w:color="auto"/>
                <w:bottom w:val="none" w:sz="0" w:space="0" w:color="auto"/>
                <w:right w:val="none" w:sz="0" w:space="0" w:color="auto"/>
              </w:divBdr>
            </w:div>
            <w:div w:id="1330527153">
              <w:marLeft w:val="0"/>
              <w:marRight w:val="0"/>
              <w:marTop w:val="0"/>
              <w:marBottom w:val="0"/>
              <w:divBdr>
                <w:top w:val="none" w:sz="0" w:space="0" w:color="auto"/>
                <w:left w:val="none" w:sz="0" w:space="0" w:color="auto"/>
                <w:bottom w:val="none" w:sz="0" w:space="0" w:color="auto"/>
                <w:right w:val="none" w:sz="0" w:space="0" w:color="auto"/>
              </w:divBdr>
            </w:div>
            <w:div w:id="566648371">
              <w:marLeft w:val="0"/>
              <w:marRight w:val="0"/>
              <w:marTop w:val="0"/>
              <w:marBottom w:val="0"/>
              <w:divBdr>
                <w:top w:val="none" w:sz="0" w:space="0" w:color="auto"/>
                <w:left w:val="none" w:sz="0" w:space="0" w:color="auto"/>
                <w:bottom w:val="none" w:sz="0" w:space="0" w:color="auto"/>
                <w:right w:val="none" w:sz="0" w:space="0" w:color="auto"/>
              </w:divBdr>
            </w:div>
            <w:div w:id="1861241067">
              <w:marLeft w:val="0"/>
              <w:marRight w:val="0"/>
              <w:marTop w:val="0"/>
              <w:marBottom w:val="0"/>
              <w:divBdr>
                <w:top w:val="none" w:sz="0" w:space="0" w:color="auto"/>
                <w:left w:val="none" w:sz="0" w:space="0" w:color="auto"/>
                <w:bottom w:val="none" w:sz="0" w:space="0" w:color="auto"/>
                <w:right w:val="none" w:sz="0" w:space="0" w:color="auto"/>
              </w:divBdr>
            </w:div>
            <w:div w:id="1872451119">
              <w:marLeft w:val="0"/>
              <w:marRight w:val="0"/>
              <w:marTop w:val="0"/>
              <w:marBottom w:val="0"/>
              <w:divBdr>
                <w:top w:val="none" w:sz="0" w:space="0" w:color="auto"/>
                <w:left w:val="none" w:sz="0" w:space="0" w:color="auto"/>
                <w:bottom w:val="none" w:sz="0" w:space="0" w:color="auto"/>
                <w:right w:val="none" w:sz="0" w:space="0" w:color="auto"/>
              </w:divBdr>
            </w:div>
            <w:div w:id="1571841441">
              <w:marLeft w:val="0"/>
              <w:marRight w:val="0"/>
              <w:marTop w:val="0"/>
              <w:marBottom w:val="0"/>
              <w:divBdr>
                <w:top w:val="none" w:sz="0" w:space="0" w:color="auto"/>
                <w:left w:val="none" w:sz="0" w:space="0" w:color="auto"/>
                <w:bottom w:val="none" w:sz="0" w:space="0" w:color="auto"/>
                <w:right w:val="none" w:sz="0" w:space="0" w:color="auto"/>
              </w:divBdr>
            </w:div>
            <w:div w:id="1846435779">
              <w:marLeft w:val="0"/>
              <w:marRight w:val="0"/>
              <w:marTop w:val="0"/>
              <w:marBottom w:val="0"/>
              <w:divBdr>
                <w:top w:val="none" w:sz="0" w:space="0" w:color="auto"/>
                <w:left w:val="none" w:sz="0" w:space="0" w:color="auto"/>
                <w:bottom w:val="none" w:sz="0" w:space="0" w:color="auto"/>
                <w:right w:val="none" w:sz="0" w:space="0" w:color="auto"/>
              </w:divBdr>
            </w:div>
            <w:div w:id="1305894068">
              <w:marLeft w:val="0"/>
              <w:marRight w:val="0"/>
              <w:marTop w:val="0"/>
              <w:marBottom w:val="0"/>
              <w:divBdr>
                <w:top w:val="none" w:sz="0" w:space="0" w:color="auto"/>
                <w:left w:val="none" w:sz="0" w:space="0" w:color="auto"/>
                <w:bottom w:val="none" w:sz="0" w:space="0" w:color="auto"/>
                <w:right w:val="none" w:sz="0" w:space="0" w:color="auto"/>
              </w:divBdr>
            </w:div>
            <w:div w:id="7105964">
              <w:marLeft w:val="0"/>
              <w:marRight w:val="0"/>
              <w:marTop w:val="0"/>
              <w:marBottom w:val="0"/>
              <w:divBdr>
                <w:top w:val="none" w:sz="0" w:space="0" w:color="auto"/>
                <w:left w:val="none" w:sz="0" w:space="0" w:color="auto"/>
                <w:bottom w:val="none" w:sz="0" w:space="0" w:color="auto"/>
                <w:right w:val="none" w:sz="0" w:space="0" w:color="auto"/>
              </w:divBdr>
            </w:div>
            <w:div w:id="166213554">
              <w:marLeft w:val="0"/>
              <w:marRight w:val="0"/>
              <w:marTop w:val="0"/>
              <w:marBottom w:val="0"/>
              <w:divBdr>
                <w:top w:val="none" w:sz="0" w:space="0" w:color="auto"/>
                <w:left w:val="none" w:sz="0" w:space="0" w:color="auto"/>
                <w:bottom w:val="none" w:sz="0" w:space="0" w:color="auto"/>
                <w:right w:val="none" w:sz="0" w:space="0" w:color="auto"/>
              </w:divBdr>
            </w:div>
          </w:divsChild>
        </w:div>
        <w:div w:id="820148899">
          <w:marLeft w:val="0"/>
          <w:marRight w:val="0"/>
          <w:marTop w:val="0"/>
          <w:marBottom w:val="0"/>
          <w:divBdr>
            <w:top w:val="none" w:sz="0" w:space="0" w:color="auto"/>
            <w:left w:val="none" w:sz="0" w:space="0" w:color="auto"/>
            <w:bottom w:val="none" w:sz="0" w:space="0" w:color="auto"/>
            <w:right w:val="none" w:sz="0" w:space="0" w:color="auto"/>
          </w:divBdr>
          <w:divsChild>
            <w:div w:id="1305158770">
              <w:marLeft w:val="0"/>
              <w:marRight w:val="0"/>
              <w:marTop w:val="0"/>
              <w:marBottom w:val="0"/>
              <w:divBdr>
                <w:top w:val="none" w:sz="0" w:space="0" w:color="auto"/>
                <w:left w:val="none" w:sz="0" w:space="0" w:color="auto"/>
                <w:bottom w:val="none" w:sz="0" w:space="0" w:color="auto"/>
                <w:right w:val="none" w:sz="0" w:space="0" w:color="auto"/>
              </w:divBdr>
            </w:div>
          </w:divsChild>
        </w:div>
        <w:div w:id="2099133697">
          <w:marLeft w:val="0"/>
          <w:marRight w:val="0"/>
          <w:marTop w:val="0"/>
          <w:marBottom w:val="0"/>
          <w:divBdr>
            <w:top w:val="none" w:sz="0" w:space="0" w:color="auto"/>
            <w:left w:val="none" w:sz="0" w:space="0" w:color="auto"/>
            <w:bottom w:val="none" w:sz="0" w:space="0" w:color="auto"/>
            <w:right w:val="none" w:sz="0" w:space="0" w:color="auto"/>
          </w:divBdr>
          <w:divsChild>
            <w:div w:id="341978686">
              <w:marLeft w:val="0"/>
              <w:marRight w:val="0"/>
              <w:marTop w:val="0"/>
              <w:marBottom w:val="0"/>
              <w:divBdr>
                <w:top w:val="none" w:sz="0" w:space="0" w:color="auto"/>
                <w:left w:val="none" w:sz="0" w:space="0" w:color="auto"/>
                <w:bottom w:val="none" w:sz="0" w:space="0" w:color="auto"/>
                <w:right w:val="none" w:sz="0" w:space="0" w:color="auto"/>
              </w:divBdr>
            </w:div>
            <w:div w:id="410126900">
              <w:marLeft w:val="0"/>
              <w:marRight w:val="0"/>
              <w:marTop w:val="0"/>
              <w:marBottom w:val="0"/>
              <w:divBdr>
                <w:top w:val="none" w:sz="0" w:space="0" w:color="auto"/>
                <w:left w:val="none" w:sz="0" w:space="0" w:color="auto"/>
                <w:bottom w:val="none" w:sz="0" w:space="0" w:color="auto"/>
                <w:right w:val="none" w:sz="0" w:space="0" w:color="auto"/>
              </w:divBdr>
            </w:div>
            <w:div w:id="1953896160">
              <w:marLeft w:val="0"/>
              <w:marRight w:val="0"/>
              <w:marTop w:val="0"/>
              <w:marBottom w:val="0"/>
              <w:divBdr>
                <w:top w:val="none" w:sz="0" w:space="0" w:color="auto"/>
                <w:left w:val="none" w:sz="0" w:space="0" w:color="auto"/>
                <w:bottom w:val="none" w:sz="0" w:space="0" w:color="auto"/>
                <w:right w:val="none" w:sz="0" w:space="0" w:color="auto"/>
              </w:divBdr>
            </w:div>
            <w:div w:id="669211262">
              <w:marLeft w:val="0"/>
              <w:marRight w:val="0"/>
              <w:marTop w:val="0"/>
              <w:marBottom w:val="0"/>
              <w:divBdr>
                <w:top w:val="none" w:sz="0" w:space="0" w:color="auto"/>
                <w:left w:val="none" w:sz="0" w:space="0" w:color="auto"/>
                <w:bottom w:val="none" w:sz="0" w:space="0" w:color="auto"/>
                <w:right w:val="none" w:sz="0" w:space="0" w:color="auto"/>
              </w:divBdr>
            </w:div>
            <w:div w:id="811947980">
              <w:marLeft w:val="0"/>
              <w:marRight w:val="0"/>
              <w:marTop w:val="0"/>
              <w:marBottom w:val="0"/>
              <w:divBdr>
                <w:top w:val="none" w:sz="0" w:space="0" w:color="auto"/>
                <w:left w:val="none" w:sz="0" w:space="0" w:color="auto"/>
                <w:bottom w:val="none" w:sz="0" w:space="0" w:color="auto"/>
                <w:right w:val="none" w:sz="0" w:space="0" w:color="auto"/>
              </w:divBdr>
            </w:div>
            <w:div w:id="1127359936">
              <w:marLeft w:val="0"/>
              <w:marRight w:val="0"/>
              <w:marTop w:val="0"/>
              <w:marBottom w:val="0"/>
              <w:divBdr>
                <w:top w:val="none" w:sz="0" w:space="0" w:color="auto"/>
                <w:left w:val="none" w:sz="0" w:space="0" w:color="auto"/>
                <w:bottom w:val="none" w:sz="0" w:space="0" w:color="auto"/>
                <w:right w:val="none" w:sz="0" w:space="0" w:color="auto"/>
              </w:divBdr>
            </w:div>
            <w:div w:id="1175682741">
              <w:marLeft w:val="0"/>
              <w:marRight w:val="0"/>
              <w:marTop w:val="0"/>
              <w:marBottom w:val="0"/>
              <w:divBdr>
                <w:top w:val="none" w:sz="0" w:space="0" w:color="auto"/>
                <w:left w:val="none" w:sz="0" w:space="0" w:color="auto"/>
                <w:bottom w:val="none" w:sz="0" w:space="0" w:color="auto"/>
                <w:right w:val="none" w:sz="0" w:space="0" w:color="auto"/>
              </w:divBdr>
            </w:div>
            <w:div w:id="179005050">
              <w:marLeft w:val="0"/>
              <w:marRight w:val="0"/>
              <w:marTop w:val="0"/>
              <w:marBottom w:val="0"/>
              <w:divBdr>
                <w:top w:val="none" w:sz="0" w:space="0" w:color="auto"/>
                <w:left w:val="none" w:sz="0" w:space="0" w:color="auto"/>
                <w:bottom w:val="none" w:sz="0" w:space="0" w:color="auto"/>
                <w:right w:val="none" w:sz="0" w:space="0" w:color="auto"/>
              </w:divBdr>
            </w:div>
          </w:divsChild>
        </w:div>
        <w:div w:id="386882610">
          <w:marLeft w:val="0"/>
          <w:marRight w:val="0"/>
          <w:marTop w:val="0"/>
          <w:marBottom w:val="0"/>
          <w:divBdr>
            <w:top w:val="none" w:sz="0" w:space="0" w:color="auto"/>
            <w:left w:val="none" w:sz="0" w:space="0" w:color="auto"/>
            <w:bottom w:val="none" w:sz="0" w:space="0" w:color="auto"/>
            <w:right w:val="none" w:sz="0" w:space="0" w:color="auto"/>
          </w:divBdr>
          <w:divsChild>
            <w:div w:id="1983466065">
              <w:marLeft w:val="0"/>
              <w:marRight w:val="0"/>
              <w:marTop w:val="0"/>
              <w:marBottom w:val="0"/>
              <w:divBdr>
                <w:top w:val="none" w:sz="0" w:space="0" w:color="auto"/>
                <w:left w:val="none" w:sz="0" w:space="0" w:color="auto"/>
                <w:bottom w:val="none" w:sz="0" w:space="0" w:color="auto"/>
                <w:right w:val="none" w:sz="0" w:space="0" w:color="auto"/>
              </w:divBdr>
            </w:div>
          </w:divsChild>
        </w:div>
        <w:div w:id="387800558">
          <w:marLeft w:val="0"/>
          <w:marRight w:val="0"/>
          <w:marTop w:val="0"/>
          <w:marBottom w:val="0"/>
          <w:divBdr>
            <w:top w:val="none" w:sz="0" w:space="0" w:color="auto"/>
            <w:left w:val="none" w:sz="0" w:space="0" w:color="auto"/>
            <w:bottom w:val="none" w:sz="0" w:space="0" w:color="auto"/>
            <w:right w:val="none" w:sz="0" w:space="0" w:color="auto"/>
          </w:divBdr>
          <w:divsChild>
            <w:div w:id="1356155414">
              <w:marLeft w:val="0"/>
              <w:marRight w:val="0"/>
              <w:marTop w:val="0"/>
              <w:marBottom w:val="0"/>
              <w:divBdr>
                <w:top w:val="none" w:sz="0" w:space="0" w:color="auto"/>
                <w:left w:val="none" w:sz="0" w:space="0" w:color="auto"/>
                <w:bottom w:val="none" w:sz="0" w:space="0" w:color="auto"/>
                <w:right w:val="none" w:sz="0" w:space="0" w:color="auto"/>
              </w:divBdr>
            </w:div>
            <w:div w:id="1384521744">
              <w:marLeft w:val="0"/>
              <w:marRight w:val="0"/>
              <w:marTop w:val="0"/>
              <w:marBottom w:val="0"/>
              <w:divBdr>
                <w:top w:val="none" w:sz="0" w:space="0" w:color="auto"/>
                <w:left w:val="none" w:sz="0" w:space="0" w:color="auto"/>
                <w:bottom w:val="none" w:sz="0" w:space="0" w:color="auto"/>
                <w:right w:val="none" w:sz="0" w:space="0" w:color="auto"/>
              </w:divBdr>
            </w:div>
            <w:div w:id="163711228">
              <w:marLeft w:val="0"/>
              <w:marRight w:val="0"/>
              <w:marTop w:val="0"/>
              <w:marBottom w:val="0"/>
              <w:divBdr>
                <w:top w:val="none" w:sz="0" w:space="0" w:color="auto"/>
                <w:left w:val="none" w:sz="0" w:space="0" w:color="auto"/>
                <w:bottom w:val="none" w:sz="0" w:space="0" w:color="auto"/>
                <w:right w:val="none" w:sz="0" w:space="0" w:color="auto"/>
              </w:divBdr>
            </w:div>
            <w:div w:id="614757193">
              <w:marLeft w:val="0"/>
              <w:marRight w:val="0"/>
              <w:marTop w:val="0"/>
              <w:marBottom w:val="0"/>
              <w:divBdr>
                <w:top w:val="none" w:sz="0" w:space="0" w:color="auto"/>
                <w:left w:val="none" w:sz="0" w:space="0" w:color="auto"/>
                <w:bottom w:val="none" w:sz="0" w:space="0" w:color="auto"/>
                <w:right w:val="none" w:sz="0" w:space="0" w:color="auto"/>
              </w:divBdr>
            </w:div>
            <w:div w:id="1707679703">
              <w:marLeft w:val="0"/>
              <w:marRight w:val="0"/>
              <w:marTop w:val="0"/>
              <w:marBottom w:val="0"/>
              <w:divBdr>
                <w:top w:val="none" w:sz="0" w:space="0" w:color="auto"/>
                <w:left w:val="none" w:sz="0" w:space="0" w:color="auto"/>
                <w:bottom w:val="none" w:sz="0" w:space="0" w:color="auto"/>
                <w:right w:val="none" w:sz="0" w:space="0" w:color="auto"/>
              </w:divBdr>
            </w:div>
            <w:div w:id="254633852">
              <w:marLeft w:val="0"/>
              <w:marRight w:val="0"/>
              <w:marTop w:val="0"/>
              <w:marBottom w:val="0"/>
              <w:divBdr>
                <w:top w:val="none" w:sz="0" w:space="0" w:color="auto"/>
                <w:left w:val="none" w:sz="0" w:space="0" w:color="auto"/>
                <w:bottom w:val="none" w:sz="0" w:space="0" w:color="auto"/>
                <w:right w:val="none" w:sz="0" w:space="0" w:color="auto"/>
              </w:divBdr>
            </w:div>
            <w:div w:id="855458207">
              <w:marLeft w:val="0"/>
              <w:marRight w:val="0"/>
              <w:marTop w:val="0"/>
              <w:marBottom w:val="0"/>
              <w:divBdr>
                <w:top w:val="none" w:sz="0" w:space="0" w:color="auto"/>
                <w:left w:val="none" w:sz="0" w:space="0" w:color="auto"/>
                <w:bottom w:val="none" w:sz="0" w:space="0" w:color="auto"/>
                <w:right w:val="none" w:sz="0" w:space="0" w:color="auto"/>
              </w:divBdr>
            </w:div>
            <w:div w:id="333923131">
              <w:marLeft w:val="0"/>
              <w:marRight w:val="0"/>
              <w:marTop w:val="0"/>
              <w:marBottom w:val="0"/>
              <w:divBdr>
                <w:top w:val="none" w:sz="0" w:space="0" w:color="auto"/>
                <w:left w:val="none" w:sz="0" w:space="0" w:color="auto"/>
                <w:bottom w:val="none" w:sz="0" w:space="0" w:color="auto"/>
                <w:right w:val="none" w:sz="0" w:space="0" w:color="auto"/>
              </w:divBdr>
            </w:div>
            <w:div w:id="1146045414">
              <w:marLeft w:val="0"/>
              <w:marRight w:val="0"/>
              <w:marTop w:val="0"/>
              <w:marBottom w:val="0"/>
              <w:divBdr>
                <w:top w:val="none" w:sz="0" w:space="0" w:color="auto"/>
                <w:left w:val="none" w:sz="0" w:space="0" w:color="auto"/>
                <w:bottom w:val="none" w:sz="0" w:space="0" w:color="auto"/>
                <w:right w:val="none" w:sz="0" w:space="0" w:color="auto"/>
              </w:divBdr>
            </w:div>
            <w:div w:id="1981030747">
              <w:marLeft w:val="0"/>
              <w:marRight w:val="0"/>
              <w:marTop w:val="0"/>
              <w:marBottom w:val="0"/>
              <w:divBdr>
                <w:top w:val="none" w:sz="0" w:space="0" w:color="auto"/>
                <w:left w:val="none" w:sz="0" w:space="0" w:color="auto"/>
                <w:bottom w:val="none" w:sz="0" w:space="0" w:color="auto"/>
                <w:right w:val="none" w:sz="0" w:space="0" w:color="auto"/>
              </w:divBdr>
            </w:div>
            <w:div w:id="694622663">
              <w:marLeft w:val="0"/>
              <w:marRight w:val="0"/>
              <w:marTop w:val="0"/>
              <w:marBottom w:val="0"/>
              <w:divBdr>
                <w:top w:val="none" w:sz="0" w:space="0" w:color="auto"/>
                <w:left w:val="none" w:sz="0" w:space="0" w:color="auto"/>
                <w:bottom w:val="none" w:sz="0" w:space="0" w:color="auto"/>
                <w:right w:val="none" w:sz="0" w:space="0" w:color="auto"/>
              </w:divBdr>
            </w:div>
            <w:div w:id="133372203">
              <w:marLeft w:val="0"/>
              <w:marRight w:val="0"/>
              <w:marTop w:val="0"/>
              <w:marBottom w:val="0"/>
              <w:divBdr>
                <w:top w:val="none" w:sz="0" w:space="0" w:color="auto"/>
                <w:left w:val="none" w:sz="0" w:space="0" w:color="auto"/>
                <w:bottom w:val="none" w:sz="0" w:space="0" w:color="auto"/>
                <w:right w:val="none" w:sz="0" w:space="0" w:color="auto"/>
              </w:divBdr>
            </w:div>
            <w:div w:id="347299318">
              <w:marLeft w:val="0"/>
              <w:marRight w:val="0"/>
              <w:marTop w:val="0"/>
              <w:marBottom w:val="0"/>
              <w:divBdr>
                <w:top w:val="none" w:sz="0" w:space="0" w:color="auto"/>
                <w:left w:val="none" w:sz="0" w:space="0" w:color="auto"/>
                <w:bottom w:val="none" w:sz="0" w:space="0" w:color="auto"/>
                <w:right w:val="none" w:sz="0" w:space="0" w:color="auto"/>
              </w:divBdr>
            </w:div>
            <w:div w:id="1527984892">
              <w:marLeft w:val="0"/>
              <w:marRight w:val="0"/>
              <w:marTop w:val="0"/>
              <w:marBottom w:val="0"/>
              <w:divBdr>
                <w:top w:val="none" w:sz="0" w:space="0" w:color="auto"/>
                <w:left w:val="none" w:sz="0" w:space="0" w:color="auto"/>
                <w:bottom w:val="none" w:sz="0" w:space="0" w:color="auto"/>
                <w:right w:val="none" w:sz="0" w:space="0" w:color="auto"/>
              </w:divBdr>
            </w:div>
            <w:div w:id="57169542">
              <w:marLeft w:val="0"/>
              <w:marRight w:val="0"/>
              <w:marTop w:val="0"/>
              <w:marBottom w:val="0"/>
              <w:divBdr>
                <w:top w:val="none" w:sz="0" w:space="0" w:color="auto"/>
                <w:left w:val="none" w:sz="0" w:space="0" w:color="auto"/>
                <w:bottom w:val="none" w:sz="0" w:space="0" w:color="auto"/>
                <w:right w:val="none" w:sz="0" w:space="0" w:color="auto"/>
              </w:divBdr>
            </w:div>
            <w:div w:id="2033727391">
              <w:marLeft w:val="0"/>
              <w:marRight w:val="0"/>
              <w:marTop w:val="0"/>
              <w:marBottom w:val="0"/>
              <w:divBdr>
                <w:top w:val="none" w:sz="0" w:space="0" w:color="auto"/>
                <w:left w:val="none" w:sz="0" w:space="0" w:color="auto"/>
                <w:bottom w:val="none" w:sz="0" w:space="0" w:color="auto"/>
                <w:right w:val="none" w:sz="0" w:space="0" w:color="auto"/>
              </w:divBdr>
            </w:div>
            <w:div w:id="1573126800">
              <w:marLeft w:val="0"/>
              <w:marRight w:val="0"/>
              <w:marTop w:val="0"/>
              <w:marBottom w:val="0"/>
              <w:divBdr>
                <w:top w:val="none" w:sz="0" w:space="0" w:color="auto"/>
                <w:left w:val="none" w:sz="0" w:space="0" w:color="auto"/>
                <w:bottom w:val="none" w:sz="0" w:space="0" w:color="auto"/>
                <w:right w:val="none" w:sz="0" w:space="0" w:color="auto"/>
              </w:divBdr>
            </w:div>
            <w:div w:id="1596554273">
              <w:marLeft w:val="0"/>
              <w:marRight w:val="0"/>
              <w:marTop w:val="0"/>
              <w:marBottom w:val="0"/>
              <w:divBdr>
                <w:top w:val="none" w:sz="0" w:space="0" w:color="auto"/>
                <w:left w:val="none" w:sz="0" w:space="0" w:color="auto"/>
                <w:bottom w:val="none" w:sz="0" w:space="0" w:color="auto"/>
                <w:right w:val="none" w:sz="0" w:space="0" w:color="auto"/>
              </w:divBdr>
            </w:div>
            <w:div w:id="477889900">
              <w:marLeft w:val="0"/>
              <w:marRight w:val="0"/>
              <w:marTop w:val="0"/>
              <w:marBottom w:val="0"/>
              <w:divBdr>
                <w:top w:val="none" w:sz="0" w:space="0" w:color="auto"/>
                <w:left w:val="none" w:sz="0" w:space="0" w:color="auto"/>
                <w:bottom w:val="none" w:sz="0" w:space="0" w:color="auto"/>
                <w:right w:val="none" w:sz="0" w:space="0" w:color="auto"/>
              </w:divBdr>
            </w:div>
            <w:div w:id="169099132">
              <w:marLeft w:val="0"/>
              <w:marRight w:val="0"/>
              <w:marTop w:val="0"/>
              <w:marBottom w:val="0"/>
              <w:divBdr>
                <w:top w:val="none" w:sz="0" w:space="0" w:color="auto"/>
                <w:left w:val="none" w:sz="0" w:space="0" w:color="auto"/>
                <w:bottom w:val="none" w:sz="0" w:space="0" w:color="auto"/>
                <w:right w:val="none" w:sz="0" w:space="0" w:color="auto"/>
              </w:divBdr>
            </w:div>
          </w:divsChild>
        </w:div>
        <w:div w:id="1110246312">
          <w:marLeft w:val="0"/>
          <w:marRight w:val="0"/>
          <w:marTop w:val="0"/>
          <w:marBottom w:val="0"/>
          <w:divBdr>
            <w:top w:val="none" w:sz="0" w:space="0" w:color="auto"/>
            <w:left w:val="none" w:sz="0" w:space="0" w:color="auto"/>
            <w:bottom w:val="none" w:sz="0" w:space="0" w:color="auto"/>
            <w:right w:val="none" w:sz="0" w:space="0" w:color="auto"/>
          </w:divBdr>
          <w:divsChild>
            <w:div w:id="226959427">
              <w:marLeft w:val="0"/>
              <w:marRight w:val="0"/>
              <w:marTop w:val="0"/>
              <w:marBottom w:val="0"/>
              <w:divBdr>
                <w:top w:val="none" w:sz="0" w:space="0" w:color="auto"/>
                <w:left w:val="none" w:sz="0" w:space="0" w:color="auto"/>
                <w:bottom w:val="none" w:sz="0" w:space="0" w:color="auto"/>
                <w:right w:val="none" w:sz="0" w:space="0" w:color="auto"/>
              </w:divBdr>
            </w:div>
          </w:divsChild>
        </w:div>
        <w:div w:id="1048257623">
          <w:marLeft w:val="0"/>
          <w:marRight w:val="0"/>
          <w:marTop w:val="0"/>
          <w:marBottom w:val="0"/>
          <w:divBdr>
            <w:top w:val="none" w:sz="0" w:space="0" w:color="auto"/>
            <w:left w:val="none" w:sz="0" w:space="0" w:color="auto"/>
            <w:bottom w:val="none" w:sz="0" w:space="0" w:color="auto"/>
            <w:right w:val="none" w:sz="0" w:space="0" w:color="auto"/>
          </w:divBdr>
          <w:divsChild>
            <w:div w:id="330262089">
              <w:marLeft w:val="0"/>
              <w:marRight w:val="0"/>
              <w:marTop w:val="0"/>
              <w:marBottom w:val="0"/>
              <w:divBdr>
                <w:top w:val="none" w:sz="0" w:space="0" w:color="auto"/>
                <w:left w:val="none" w:sz="0" w:space="0" w:color="auto"/>
                <w:bottom w:val="none" w:sz="0" w:space="0" w:color="auto"/>
                <w:right w:val="none" w:sz="0" w:space="0" w:color="auto"/>
              </w:divBdr>
            </w:div>
            <w:div w:id="708603578">
              <w:marLeft w:val="0"/>
              <w:marRight w:val="0"/>
              <w:marTop w:val="0"/>
              <w:marBottom w:val="0"/>
              <w:divBdr>
                <w:top w:val="none" w:sz="0" w:space="0" w:color="auto"/>
                <w:left w:val="none" w:sz="0" w:space="0" w:color="auto"/>
                <w:bottom w:val="none" w:sz="0" w:space="0" w:color="auto"/>
                <w:right w:val="none" w:sz="0" w:space="0" w:color="auto"/>
              </w:divBdr>
            </w:div>
            <w:div w:id="62140862">
              <w:marLeft w:val="0"/>
              <w:marRight w:val="0"/>
              <w:marTop w:val="0"/>
              <w:marBottom w:val="0"/>
              <w:divBdr>
                <w:top w:val="none" w:sz="0" w:space="0" w:color="auto"/>
                <w:left w:val="none" w:sz="0" w:space="0" w:color="auto"/>
                <w:bottom w:val="none" w:sz="0" w:space="0" w:color="auto"/>
                <w:right w:val="none" w:sz="0" w:space="0" w:color="auto"/>
              </w:divBdr>
            </w:div>
            <w:div w:id="1286156502">
              <w:marLeft w:val="0"/>
              <w:marRight w:val="0"/>
              <w:marTop w:val="0"/>
              <w:marBottom w:val="0"/>
              <w:divBdr>
                <w:top w:val="none" w:sz="0" w:space="0" w:color="auto"/>
                <w:left w:val="none" w:sz="0" w:space="0" w:color="auto"/>
                <w:bottom w:val="none" w:sz="0" w:space="0" w:color="auto"/>
                <w:right w:val="none" w:sz="0" w:space="0" w:color="auto"/>
              </w:divBdr>
            </w:div>
            <w:div w:id="523056702">
              <w:marLeft w:val="0"/>
              <w:marRight w:val="0"/>
              <w:marTop w:val="0"/>
              <w:marBottom w:val="0"/>
              <w:divBdr>
                <w:top w:val="none" w:sz="0" w:space="0" w:color="auto"/>
                <w:left w:val="none" w:sz="0" w:space="0" w:color="auto"/>
                <w:bottom w:val="none" w:sz="0" w:space="0" w:color="auto"/>
                <w:right w:val="none" w:sz="0" w:space="0" w:color="auto"/>
              </w:divBdr>
            </w:div>
            <w:div w:id="1865051377">
              <w:marLeft w:val="0"/>
              <w:marRight w:val="0"/>
              <w:marTop w:val="0"/>
              <w:marBottom w:val="0"/>
              <w:divBdr>
                <w:top w:val="none" w:sz="0" w:space="0" w:color="auto"/>
                <w:left w:val="none" w:sz="0" w:space="0" w:color="auto"/>
                <w:bottom w:val="none" w:sz="0" w:space="0" w:color="auto"/>
                <w:right w:val="none" w:sz="0" w:space="0" w:color="auto"/>
              </w:divBdr>
            </w:div>
            <w:div w:id="2110855377">
              <w:marLeft w:val="0"/>
              <w:marRight w:val="0"/>
              <w:marTop w:val="0"/>
              <w:marBottom w:val="0"/>
              <w:divBdr>
                <w:top w:val="none" w:sz="0" w:space="0" w:color="auto"/>
                <w:left w:val="none" w:sz="0" w:space="0" w:color="auto"/>
                <w:bottom w:val="none" w:sz="0" w:space="0" w:color="auto"/>
                <w:right w:val="none" w:sz="0" w:space="0" w:color="auto"/>
              </w:divBdr>
            </w:div>
            <w:div w:id="126819056">
              <w:marLeft w:val="0"/>
              <w:marRight w:val="0"/>
              <w:marTop w:val="0"/>
              <w:marBottom w:val="0"/>
              <w:divBdr>
                <w:top w:val="none" w:sz="0" w:space="0" w:color="auto"/>
                <w:left w:val="none" w:sz="0" w:space="0" w:color="auto"/>
                <w:bottom w:val="none" w:sz="0" w:space="0" w:color="auto"/>
                <w:right w:val="none" w:sz="0" w:space="0" w:color="auto"/>
              </w:divBdr>
            </w:div>
            <w:div w:id="84956429">
              <w:marLeft w:val="0"/>
              <w:marRight w:val="0"/>
              <w:marTop w:val="0"/>
              <w:marBottom w:val="0"/>
              <w:divBdr>
                <w:top w:val="none" w:sz="0" w:space="0" w:color="auto"/>
                <w:left w:val="none" w:sz="0" w:space="0" w:color="auto"/>
                <w:bottom w:val="none" w:sz="0" w:space="0" w:color="auto"/>
                <w:right w:val="none" w:sz="0" w:space="0" w:color="auto"/>
              </w:divBdr>
            </w:div>
            <w:div w:id="2041468536">
              <w:marLeft w:val="0"/>
              <w:marRight w:val="0"/>
              <w:marTop w:val="0"/>
              <w:marBottom w:val="0"/>
              <w:divBdr>
                <w:top w:val="none" w:sz="0" w:space="0" w:color="auto"/>
                <w:left w:val="none" w:sz="0" w:space="0" w:color="auto"/>
                <w:bottom w:val="none" w:sz="0" w:space="0" w:color="auto"/>
                <w:right w:val="none" w:sz="0" w:space="0" w:color="auto"/>
              </w:divBdr>
            </w:div>
            <w:div w:id="1471627351">
              <w:marLeft w:val="0"/>
              <w:marRight w:val="0"/>
              <w:marTop w:val="0"/>
              <w:marBottom w:val="0"/>
              <w:divBdr>
                <w:top w:val="none" w:sz="0" w:space="0" w:color="auto"/>
                <w:left w:val="none" w:sz="0" w:space="0" w:color="auto"/>
                <w:bottom w:val="none" w:sz="0" w:space="0" w:color="auto"/>
                <w:right w:val="none" w:sz="0" w:space="0" w:color="auto"/>
              </w:divBdr>
            </w:div>
            <w:div w:id="1778406347">
              <w:marLeft w:val="0"/>
              <w:marRight w:val="0"/>
              <w:marTop w:val="0"/>
              <w:marBottom w:val="0"/>
              <w:divBdr>
                <w:top w:val="none" w:sz="0" w:space="0" w:color="auto"/>
                <w:left w:val="none" w:sz="0" w:space="0" w:color="auto"/>
                <w:bottom w:val="none" w:sz="0" w:space="0" w:color="auto"/>
                <w:right w:val="none" w:sz="0" w:space="0" w:color="auto"/>
              </w:divBdr>
            </w:div>
            <w:div w:id="921720259">
              <w:marLeft w:val="0"/>
              <w:marRight w:val="0"/>
              <w:marTop w:val="0"/>
              <w:marBottom w:val="0"/>
              <w:divBdr>
                <w:top w:val="none" w:sz="0" w:space="0" w:color="auto"/>
                <w:left w:val="none" w:sz="0" w:space="0" w:color="auto"/>
                <w:bottom w:val="none" w:sz="0" w:space="0" w:color="auto"/>
                <w:right w:val="none" w:sz="0" w:space="0" w:color="auto"/>
              </w:divBdr>
            </w:div>
            <w:div w:id="948856629">
              <w:marLeft w:val="0"/>
              <w:marRight w:val="0"/>
              <w:marTop w:val="0"/>
              <w:marBottom w:val="0"/>
              <w:divBdr>
                <w:top w:val="none" w:sz="0" w:space="0" w:color="auto"/>
                <w:left w:val="none" w:sz="0" w:space="0" w:color="auto"/>
                <w:bottom w:val="none" w:sz="0" w:space="0" w:color="auto"/>
                <w:right w:val="none" w:sz="0" w:space="0" w:color="auto"/>
              </w:divBdr>
            </w:div>
            <w:div w:id="94791830">
              <w:marLeft w:val="0"/>
              <w:marRight w:val="0"/>
              <w:marTop w:val="0"/>
              <w:marBottom w:val="0"/>
              <w:divBdr>
                <w:top w:val="none" w:sz="0" w:space="0" w:color="auto"/>
                <w:left w:val="none" w:sz="0" w:space="0" w:color="auto"/>
                <w:bottom w:val="none" w:sz="0" w:space="0" w:color="auto"/>
                <w:right w:val="none" w:sz="0" w:space="0" w:color="auto"/>
              </w:divBdr>
            </w:div>
            <w:div w:id="1561594193">
              <w:marLeft w:val="0"/>
              <w:marRight w:val="0"/>
              <w:marTop w:val="0"/>
              <w:marBottom w:val="0"/>
              <w:divBdr>
                <w:top w:val="none" w:sz="0" w:space="0" w:color="auto"/>
                <w:left w:val="none" w:sz="0" w:space="0" w:color="auto"/>
                <w:bottom w:val="none" w:sz="0" w:space="0" w:color="auto"/>
                <w:right w:val="none" w:sz="0" w:space="0" w:color="auto"/>
              </w:divBdr>
            </w:div>
            <w:div w:id="1914007363">
              <w:marLeft w:val="0"/>
              <w:marRight w:val="0"/>
              <w:marTop w:val="0"/>
              <w:marBottom w:val="0"/>
              <w:divBdr>
                <w:top w:val="none" w:sz="0" w:space="0" w:color="auto"/>
                <w:left w:val="none" w:sz="0" w:space="0" w:color="auto"/>
                <w:bottom w:val="none" w:sz="0" w:space="0" w:color="auto"/>
                <w:right w:val="none" w:sz="0" w:space="0" w:color="auto"/>
              </w:divBdr>
            </w:div>
            <w:div w:id="119762771">
              <w:marLeft w:val="0"/>
              <w:marRight w:val="0"/>
              <w:marTop w:val="0"/>
              <w:marBottom w:val="0"/>
              <w:divBdr>
                <w:top w:val="none" w:sz="0" w:space="0" w:color="auto"/>
                <w:left w:val="none" w:sz="0" w:space="0" w:color="auto"/>
                <w:bottom w:val="none" w:sz="0" w:space="0" w:color="auto"/>
                <w:right w:val="none" w:sz="0" w:space="0" w:color="auto"/>
              </w:divBdr>
            </w:div>
            <w:div w:id="1584144323">
              <w:marLeft w:val="0"/>
              <w:marRight w:val="0"/>
              <w:marTop w:val="0"/>
              <w:marBottom w:val="0"/>
              <w:divBdr>
                <w:top w:val="none" w:sz="0" w:space="0" w:color="auto"/>
                <w:left w:val="none" w:sz="0" w:space="0" w:color="auto"/>
                <w:bottom w:val="none" w:sz="0" w:space="0" w:color="auto"/>
                <w:right w:val="none" w:sz="0" w:space="0" w:color="auto"/>
              </w:divBdr>
            </w:div>
            <w:div w:id="27993209">
              <w:marLeft w:val="0"/>
              <w:marRight w:val="0"/>
              <w:marTop w:val="0"/>
              <w:marBottom w:val="0"/>
              <w:divBdr>
                <w:top w:val="none" w:sz="0" w:space="0" w:color="auto"/>
                <w:left w:val="none" w:sz="0" w:space="0" w:color="auto"/>
                <w:bottom w:val="none" w:sz="0" w:space="0" w:color="auto"/>
                <w:right w:val="none" w:sz="0" w:space="0" w:color="auto"/>
              </w:divBdr>
            </w:div>
          </w:divsChild>
        </w:div>
        <w:div w:id="1894274254">
          <w:marLeft w:val="0"/>
          <w:marRight w:val="0"/>
          <w:marTop w:val="0"/>
          <w:marBottom w:val="0"/>
          <w:divBdr>
            <w:top w:val="none" w:sz="0" w:space="0" w:color="auto"/>
            <w:left w:val="none" w:sz="0" w:space="0" w:color="auto"/>
            <w:bottom w:val="none" w:sz="0" w:space="0" w:color="auto"/>
            <w:right w:val="none" w:sz="0" w:space="0" w:color="auto"/>
          </w:divBdr>
          <w:divsChild>
            <w:div w:id="980421162">
              <w:marLeft w:val="0"/>
              <w:marRight w:val="0"/>
              <w:marTop w:val="0"/>
              <w:marBottom w:val="0"/>
              <w:divBdr>
                <w:top w:val="none" w:sz="0" w:space="0" w:color="auto"/>
                <w:left w:val="none" w:sz="0" w:space="0" w:color="auto"/>
                <w:bottom w:val="none" w:sz="0" w:space="0" w:color="auto"/>
                <w:right w:val="none" w:sz="0" w:space="0" w:color="auto"/>
              </w:divBdr>
            </w:div>
          </w:divsChild>
        </w:div>
        <w:div w:id="1376081019">
          <w:marLeft w:val="0"/>
          <w:marRight w:val="0"/>
          <w:marTop w:val="0"/>
          <w:marBottom w:val="0"/>
          <w:divBdr>
            <w:top w:val="none" w:sz="0" w:space="0" w:color="auto"/>
            <w:left w:val="none" w:sz="0" w:space="0" w:color="auto"/>
            <w:bottom w:val="none" w:sz="0" w:space="0" w:color="auto"/>
            <w:right w:val="none" w:sz="0" w:space="0" w:color="auto"/>
          </w:divBdr>
          <w:divsChild>
            <w:div w:id="748040983">
              <w:marLeft w:val="0"/>
              <w:marRight w:val="0"/>
              <w:marTop w:val="0"/>
              <w:marBottom w:val="0"/>
              <w:divBdr>
                <w:top w:val="none" w:sz="0" w:space="0" w:color="auto"/>
                <w:left w:val="none" w:sz="0" w:space="0" w:color="auto"/>
                <w:bottom w:val="none" w:sz="0" w:space="0" w:color="auto"/>
                <w:right w:val="none" w:sz="0" w:space="0" w:color="auto"/>
              </w:divBdr>
            </w:div>
            <w:div w:id="298387697">
              <w:marLeft w:val="0"/>
              <w:marRight w:val="0"/>
              <w:marTop w:val="0"/>
              <w:marBottom w:val="0"/>
              <w:divBdr>
                <w:top w:val="none" w:sz="0" w:space="0" w:color="auto"/>
                <w:left w:val="none" w:sz="0" w:space="0" w:color="auto"/>
                <w:bottom w:val="none" w:sz="0" w:space="0" w:color="auto"/>
                <w:right w:val="none" w:sz="0" w:space="0" w:color="auto"/>
              </w:divBdr>
            </w:div>
            <w:div w:id="454832020">
              <w:marLeft w:val="0"/>
              <w:marRight w:val="0"/>
              <w:marTop w:val="0"/>
              <w:marBottom w:val="0"/>
              <w:divBdr>
                <w:top w:val="none" w:sz="0" w:space="0" w:color="auto"/>
                <w:left w:val="none" w:sz="0" w:space="0" w:color="auto"/>
                <w:bottom w:val="none" w:sz="0" w:space="0" w:color="auto"/>
                <w:right w:val="none" w:sz="0" w:space="0" w:color="auto"/>
              </w:divBdr>
            </w:div>
            <w:div w:id="1454442270">
              <w:marLeft w:val="0"/>
              <w:marRight w:val="0"/>
              <w:marTop w:val="0"/>
              <w:marBottom w:val="0"/>
              <w:divBdr>
                <w:top w:val="none" w:sz="0" w:space="0" w:color="auto"/>
                <w:left w:val="none" w:sz="0" w:space="0" w:color="auto"/>
                <w:bottom w:val="none" w:sz="0" w:space="0" w:color="auto"/>
                <w:right w:val="none" w:sz="0" w:space="0" w:color="auto"/>
              </w:divBdr>
            </w:div>
            <w:div w:id="268969099">
              <w:marLeft w:val="0"/>
              <w:marRight w:val="0"/>
              <w:marTop w:val="0"/>
              <w:marBottom w:val="0"/>
              <w:divBdr>
                <w:top w:val="none" w:sz="0" w:space="0" w:color="auto"/>
                <w:left w:val="none" w:sz="0" w:space="0" w:color="auto"/>
                <w:bottom w:val="none" w:sz="0" w:space="0" w:color="auto"/>
                <w:right w:val="none" w:sz="0" w:space="0" w:color="auto"/>
              </w:divBdr>
            </w:div>
            <w:div w:id="2140299965">
              <w:marLeft w:val="0"/>
              <w:marRight w:val="0"/>
              <w:marTop w:val="0"/>
              <w:marBottom w:val="0"/>
              <w:divBdr>
                <w:top w:val="none" w:sz="0" w:space="0" w:color="auto"/>
                <w:left w:val="none" w:sz="0" w:space="0" w:color="auto"/>
                <w:bottom w:val="none" w:sz="0" w:space="0" w:color="auto"/>
                <w:right w:val="none" w:sz="0" w:space="0" w:color="auto"/>
              </w:divBdr>
            </w:div>
            <w:div w:id="295071222">
              <w:marLeft w:val="0"/>
              <w:marRight w:val="0"/>
              <w:marTop w:val="0"/>
              <w:marBottom w:val="0"/>
              <w:divBdr>
                <w:top w:val="none" w:sz="0" w:space="0" w:color="auto"/>
                <w:left w:val="none" w:sz="0" w:space="0" w:color="auto"/>
                <w:bottom w:val="none" w:sz="0" w:space="0" w:color="auto"/>
                <w:right w:val="none" w:sz="0" w:space="0" w:color="auto"/>
              </w:divBdr>
            </w:div>
            <w:div w:id="673997414">
              <w:marLeft w:val="0"/>
              <w:marRight w:val="0"/>
              <w:marTop w:val="0"/>
              <w:marBottom w:val="0"/>
              <w:divBdr>
                <w:top w:val="none" w:sz="0" w:space="0" w:color="auto"/>
                <w:left w:val="none" w:sz="0" w:space="0" w:color="auto"/>
                <w:bottom w:val="none" w:sz="0" w:space="0" w:color="auto"/>
                <w:right w:val="none" w:sz="0" w:space="0" w:color="auto"/>
              </w:divBdr>
            </w:div>
            <w:div w:id="2063823548">
              <w:marLeft w:val="0"/>
              <w:marRight w:val="0"/>
              <w:marTop w:val="0"/>
              <w:marBottom w:val="0"/>
              <w:divBdr>
                <w:top w:val="none" w:sz="0" w:space="0" w:color="auto"/>
                <w:left w:val="none" w:sz="0" w:space="0" w:color="auto"/>
                <w:bottom w:val="none" w:sz="0" w:space="0" w:color="auto"/>
                <w:right w:val="none" w:sz="0" w:space="0" w:color="auto"/>
              </w:divBdr>
            </w:div>
            <w:div w:id="1030566687">
              <w:marLeft w:val="0"/>
              <w:marRight w:val="0"/>
              <w:marTop w:val="0"/>
              <w:marBottom w:val="0"/>
              <w:divBdr>
                <w:top w:val="none" w:sz="0" w:space="0" w:color="auto"/>
                <w:left w:val="none" w:sz="0" w:space="0" w:color="auto"/>
                <w:bottom w:val="none" w:sz="0" w:space="0" w:color="auto"/>
                <w:right w:val="none" w:sz="0" w:space="0" w:color="auto"/>
              </w:divBdr>
            </w:div>
            <w:div w:id="835801484">
              <w:marLeft w:val="0"/>
              <w:marRight w:val="0"/>
              <w:marTop w:val="0"/>
              <w:marBottom w:val="0"/>
              <w:divBdr>
                <w:top w:val="none" w:sz="0" w:space="0" w:color="auto"/>
                <w:left w:val="none" w:sz="0" w:space="0" w:color="auto"/>
                <w:bottom w:val="none" w:sz="0" w:space="0" w:color="auto"/>
                <w:right w:val="none" w:sz="0" w:space="0" w:color="auto"/>
              </w:divBdr>
            </w:div>
            <w:div w:id="421804502">
              <w:marLeft w:val="0"/>
              <w:marRight w:val="0"/>
              <w:marTop w:val="0"/>
              <w:marBottom w:val="0"/>
              <w:divBdr>
                <w:top w:val="none" w:sz="0" w:space="0" w:color="auto"/>
                <w:left w:val="none" w:sz="0" w:space="0" w:color="auto"/>
                <w:bottom w:val="none" w:sz="0" w:space="0" w:color="auto"/>
                <w:right w:val="none" w:sz="0" w:space="0" w:color="auto"/>
              </w:divBdr>
            </w:div>
            <w:div w:id="1606574461">
              <w:marLeft w:val="0"/>
              <w:marRight w:val="0"/>
              <w:marTop w:val="0"/>
              <w:marBottom w:val="0"/>
              <w:divBdr>
                <w:top w:val="none" w:sz="0" w:space="0" w:color="auto"/>
                <w:left w:val="none" w:sz="0" w:space="0" w:color="auto"/>
                <w:bottom w:val="none" w:sz="0" w:space="0" w:color="auto"/>
                <w:right w:val="none" w:sz="0" w:space="0" w:color="auto"/>
              </w:divBdr>
            </w:div>
            <w:div w:id="344939983">
              <w:marLeft w:val="0"/>
              <w:marRight w:val="0"/>
              <w:marTop w:val="0"/>
              <w:marBottom w:val="0"/>
              <w:divBdr>
                <w:top w:val="none" w:sz="0" w:space="0" w:color="auto"/>
                <w:left w:val="none" w:sz="0" w:space="0" w:color="auto"/>
                <w:bottom w:val="none" w:sz="0" w:space="0" w:color="auto"/>
                <w:right w:val="none" w:sz="0" w:space="0" w:color="auto"/>
              </w:divBdr>
            </w:div>
            <w:div w:id="1750955796">
              <w:marLeft w:val="0"/>
              <w:marRight w:val="0"/>
              <w:marTop w:val="0"/>
              <w:marBottom w:val="0"/>
              <w:divBdr>
                <w:top w:val="none" w:sz="0" w:space="0" w:color="auto"/>
                <w:left w:val="none" w:sz="0" w:space="0" w:color="auto"/>
                <w:bottom w:val="none" w:sz="0" w:space="0" w:color="auto"/>
                <w:right w:val="none" w:sz="0" w:space="0" w:color="auto"/>
              </w:divBdr>
            </w:div>
            <w:div w:id="1854881773">
              <w:marLeft w:val="0"/>
              <w:marRight w:val="0"/>
              <w:marTop w:val="0"/>
              <w:marBottom w:val="0"/>
              <w:divBdr>
                <w:top w:val="none" w:sz="0" w:space="0" w:color="auto"/>
                <w:left w:val="none" w:sz="0" w:space="0" w:color="auto"/>
                <w:bottom w:val="none" w:sz="0" w:space="0" w:color="auto"/>
                <w:right w:val="none" w:sz="0" w:space="0" w:color="auto"/>
              </w:divBdr>
            </w:div>
            <w:div w:id="2142069441">
              <w:marLeft w:val="0"/>
              <w:marRight w:val="0"/>
              <w:marTop w:val="0"/>
              <w:marBottom w:val="0"/>
              <w:divBdr>
                <w:top w:val="none" w:sz="0" w:space="0" w:color="auto"/>
                <w:left w:val="none" w:sz="0" w:space="0" w:color="auto"/>
                <w:bottom w:val="none" w:sz="0" w:space="0" w:color="auto"/>
                <w:right w:val="none" w:sz="0" w:space="0" w:color="auto"/>
              </w:divBdr>
            </w:div>
            <w:div w:id="977805684">
              <w:marLeft w:val="0"/>
              <w:marRight w:val="0"/>
              <w:marTop w:val="0"/>
              <w:marBottom w:val="0"/>
              <w:divBdr>
                <w:top w:val="none" w:sz="0" w:space="0" w:color="auto"/>
                <w:left w:val="none" w:sz="0" w:space="0" w:color="auto"/>
                <w:bottom w:val="none" w:sz="0" w:space="0" w:color="auto"/>
                <w:right w:val="none" w:sz="0" w:space="0" w:color="auto"/>
              </w:divBdr>
            </w:div>
            <w:div w:id="2090105557">
              <w:marLeft w:val="0"/>
              <w:marRight w:val="0"/>
              <w:marTop w:val="0"/>
              <w:marBottom w:val="0"/>
              <w:divBdr>
                <w:top w:val="none" w:sz="0" w:space="0" w:color="auto"/>
                <w:left w:val="none" w:sz="0" w:space="0" w:color="auto"/>
                <w:bottom w:val="none" w:sz="0" w:space="0" w:color="auto"/>
                <w:right w:val="none" w:sz="0" w:space="0" w:color="auto"/>
              </w:divBdr>
            </w:div>
            <w:div w:id="1849978029">
              <w:marLeft w:val="0"/>
              <w:marRight w:val="0"/>
              <w:marTop w:val="0"/>
              <w:marBottom w:val="0"/>
              <w:divBdr>
                <w:top w:val="none" w:sz="0" w:space="0" w:color="auto"/>
                <w:left w:val="none" w:sz="0" w:space="0" w:color="auto"/>
                <w:bottom w:val="none" w:sz="0" w:space="0" w:color="auto"/>
                <w:right w:val="none" w:sz="0" w:space="0" w:color="auto"/>
              </w:divBdr>
            </w:div>
          </w:divsChild>
        </w:div>
        <w:div w:id="95055653">
          <w:marLeft w:val="0"/>
          <w:marRight w:val="0"/>
          <w:marTop w:val="0"/>
          <w:marBottom w:val="0"/>
          <w:divBdr>
            <w:top w:val="none" w:sz="0" w:space="0" w:color="auto"/>
            <w:left w:val="none" w:sz="0" w:space="0" w:color="auto"/>
            <w:bottom w:val="none" w:sz="0" w:space="0" w:color="auto"/>
            <w:right w:val="none" w:sz="0" w:space="0" w:color="auto"/>
          </w:divBdr>
          <w:divsChild>
            <w:div w:id="229080967">
              <w:marLeft w:val="0"/>
              <w:marRight w:val="0"/>
              <w:marTop w:val="0"/>
              <w:marBottom w:val="0"/>
              <w:divBdr>
                <w:top w:val="none" w:sz="0" w:space="0" w:color="auto"/>
                <w:left w:val="none" w:sz="0" w:space="0" w:color="auto"/>
                <w:bottom w:val="none" w:sz="0" w:space="0" w:color="auto"/>
                <w:right w:val="none" w:sz="0" w:space="0" w:color="auto"/>
              </w:divBdr>
            </w:div>
          </w:divsChild>
        </w:div>
        <w:div w:id="340470144">
          <w:marLeft w:val="0"/>
          <w:marRight w:val="0"/>
          <w:marTop w:val="0"/>
          <w:marBottom w:val="0"/>
          <w:divBdr>
            <w:top w:val="none" w:sz="0" w:space="0" w:color="auto"/>
            <w:left w:val="none" w:sz="0" w:space="0" w:color="auto"/>
            <w:bottom w:val="none" w:sz="0" w:space="0" w:color="auto"/>
            <w:right w:val="none" w:sz="0" w:space="0" w:color="auto"/>
          </w:divBdr>
          <w:divsChild>
            <w:div w:id="780803172">
              <w:marLeft w:val="0"/>
              <w:marRight w:val="0"/>
              <w:marTop w:val="0"/>
              <w:marBottom w:val="0"/>
              <w:divBdr>
                <w:top w:val="none" w:sz="0" w:space="0" w:color="auto"/>
                <w:left w:val="none" w:sz="0" w:space="0" w:color="auto"/>
                <w:bottom w:val="none" w:sz="0" w:space="0" w:color="auto"/>
                <w:right w:val="none" w:sz="0" w:space="0" w:color="auto"/>
              </w:divBdr>
            </w:div>
            <w:div w:id="667711554">
              <w:marLeft w:val="0"/>
              <w:marRight w:val="0"/>
              <w:marTop w:val="0"/>
              <w:marBottom w:val="0"/>
              <w:divBdr>
                <w:top w:val="none" w:sz="0" w:space="0" w:color="auto"/>
                <w:left w:val="none" w:sz="0" w:space="0" w:color="auto"/>
                <w:bottom w:val="none" w:sz="0" w:space="0" w:color="auto"/>
                <w:right w:val="none" w:sz="0" w:space="0" w:color="auto"/>
              </w:divBdr>
            </w:div>
            <w:div w:id="577249728">
              <w:marLeft w:val="0"/>
              <w:marRight w:val="0"/>
              <w:marTop w:val="0"/>
              <w:marBottom w:val="0"/>
              <w:divBdr>
                <w:top w:val="none" w:sz="0" w:space="0" w:color="auto"/>
                <w:left w:val="none" w:sz="0" w:space="0" w:color="auto"/>
                <w:bottom w:val="none" w:sz="0" w:space="0" w:color="auto"/>
                <w:right w:val="none" w:sz="0" w:space="0" w:color="auto"/>
              </w:divBdr>
            </w:div>
            <w:div w:id="1176649389">
              <w:marLeft w:val="0"/>
              <w:marRight w:val="0"/>
              <w:marTop w:val="0"/>
              <w:marBottom w:val="0"/>
              <w:divBdr>
                <w:top w:val="none" w:sz="0" w:space="0" w:color="auto"/>
                <w:left w:val="none" w:sz="0" w:space="0" w:color="auto"/>
                <w:bottom w:val="none" w:sz="0" w:space="0" w:color="auto"/>
                <w:right w:val="none" w:sz="0" w:space="0" w:color="auto"/>
              </w:divBdr>
            </w:div>
            <w:div w:id="378867275">
              <w:marLeft w:val="0"/>
              <w:marRight w:val="0"/>
              <w:marTop w:val="0"/>
              <w:marBottom w:val="0"/>
              <w:divBdr>
                <w:top w:val="none" w:sz="0" w:space="0" w:color="auto"/>
                <w:left w:val="none" w:sz="0" w:space="0" w:color="auto"/>
                <w:bottom w:val="none" w:sz="0" w:space="0" w:color="auto"/>
                <w:right w:val="none" w:sz="0" w:space="0" w:color="auto"/>
              </w:divBdr>
            </w:div>
            <w:div w:id="1921520373">
              <w:marLeft w:val="0"/>
              <w:marRight w:val="0"/>
              <w:marTop w:val="0"/>
              <w:marBottom w:val="0"/>
              <w:divBdr>
                <w:top w:val="none" w:sz="0" w:space="0" w:color="auto"/>
                <w:left w:val="none" w:sz="0" w:space="0" w:color="auto"/>
                <w:bottom w:val="none" w:sz="0" w:space="0" w:color="auto"/>
                <w:right w:val="none" w:sz="0" w:space="0" w:color="auto"/>
              </w:divBdr>
            </w:div>
            <w:div w:id="1066148704">
              <w:marLeft w:val="0"/>
              <w:marRight w:val="0"/>
              <w:marTop w:val="0"/>
              <w:marBottom w:val="0"/>
              <w:divBdr>
                <w:top w:val="none" w:sz="0" w:space="0" w:color="auto"/>
                <w:left w:val="none" w:sz="0" w:space="0" w:color="auto"/>
                <w:bottom w:val="none" w:sz="0" w:space="0" w:color="auto"/>
                <w:right w:val="none" w:sz="0" w:space="0" w:color="auto"/>
              </w:divBdr>
            </w:div>
            <w:div w:id="1059205770">
              <w:marLeft w:val="0"/>
              <w:marRight w:val="0"/>
              <w:marTop w:val="0"/>
              <w:marBottom w:val="0"/>
              <w:divBdr>
                <w:top w:val="none" w:sz="0" w:space="0" w:color="auto"/>
                <w:left w:val="none" w:sz="0" w:space="0" w:color="auto"/>
                <w:bottom w:val="none" w:sz="0" w:space="0" w:color="auto"/>
                <w:right w:val="none" w:sz="0" w:space="0" w:color="auto"/>
              </w:divBdr>
            </w:div>
            <w:div w:id="2139103214">
              <w:marLeft w:val="0"/>
              <w:marRight w:val="0"/>
              <w:marTop w:val="0"/>
              <w:marBottom w:val="0"/>
              <w:divBdr>
                <w:top w:val="none" w:sz="0" w:space="0" w:color="auto"/>
                <w:left w:val="none" w:sz="0" w:space="0" w:color="auto"/>
                <w:bottom w:val="none" w:sz="0" w:space="0" w:color="auto"/>
                <w:right w:val="none" w:sz="0" w:space="0" w:color="auto"/>
              </w:divBdr>
            </w:div>
            <w:div w:id="135076821">
              <w:marLeft w:val="0"/>
              <w:marRight w:val="0"/>
              <w:marTop w:val="0"/>
              <w:marBottom w:val="0"/>
              <w:divBdr>
                <w:top w:val="none" w:sz="0" w:space="0" w:color="auto"/>
                <w:left w:val="none" w:sz="0" w:space="0" w:color="auto"/>
                <w:bottom w:val="none" w:sz="0" w:space="0" w:color="auto"/>
                <w:right w:val="none" w:sz="0" w:space="0" w:color="auto"/>
              </w:divBdr>
            </w:div>
            <w:div w:id="1476992052">
              <w:marLeft w:val="0"/>
              <w:marRight w:val="0"/>
              <w:marTop w:val="0"/>
              <w:marBottom w:val="0"/>
              <w:divBdr>
                <w:top w:val="none" w:sz="0" w:space="0" w:color="auto"/>
                <w:left w:val="none" w:sz="0" w:space="0" w:color="auto"/>
                <w:bottom w:val="none" w:sz="0" w:space="0" w:color="auto"/>
                <w:right w:val="none" w:sz="0" w:space="0" w:color="auto"/>
              </w:divBdr>
            </w:div>
            <w:div w:id="2107186648">
              <w:marLeft w:val="0"/>
              <w:marRight w:val="0"/>
              <w:marTop w:val="0"/>
              <w:marBottom w:val="0"/>
              <w:divBdr>
                <w:top w:val="none" w:sz="0" w:space="0" w:color="auto"/>
                <w:left w:val="none" w:sz="0" w:space="0" w:color="auto"/>
                <w:bottom w:val="none" w:sz="0" w:space="0" w:color="auto"/>
                <w:right w:val="none" w:sz="0" w:space="0" w:color="auto"/>
              </w:divBdr>
            </w:div>
            <w:div w:id="1937052875">
              <w:marLeft w:val="0"/>
              <w:marRight w:val="0"/>
              <w:marTop w:val="0"/>
              <w:marBottom w:val="0"/>
              <w:divBdr>
                <w:top w:val="none" w:sz="0" w:space="0" w:color="auto"/>
                <w:left w:val="none" w:sz="0" w:space="0" w:color="auto"/>
                <w:bottom w:val="none" w:sz="0" w:space="0" w:color="auto"/>
                <w:right w:val="none" w:sz="0" w:space="0" w:color="auto"/>
              </w:divBdr>
            </w:div>
            <w:div w:id="1029916236">
              <w:marLeft w:val="0"/>
              <w:marRight w:val="0"/>
              <w:marTop w:val="0"/>
              <w:marBottom w:val="0"/>
              <w:divBdr>
                <w:top w:val="none" w:sz="0" w:space="0" w:color="auto"/>
                <w:left w:val="none" w:sz="0" w:space="0" w:color="auto"/>
                <w:bottom w:val="none" w:sz="0" w:space="0" w:color="auto"/>
                <w:right w:val="none" w:sz="0" w:space="0" w:color="auto"/>
              </w:divBdr>
            </w:div>
            <w:div w:id="1798837467">
              <w:marLeft w:val="0"/>
              <w:marRight w:val="0"/>
              <w:marTop w:val="0"/>
              <w:marBottom w:val="0"/>
              <w:divBdr>
                <w:top w:val="none" w:sz="0" w:space="0" w:color="auto"/>
                <w:left w:val="none" w:sz="0" w:space="0" w:color="auto"/>
                <w:bottom w:val="none" w:sz="0" w:space="0" w:color="auto"/>
                <w:right w:val="none" w:sz="0" w:space="0" w:color="auto"/>
              </w:divBdr>
            </w:div>
            <w:div w:id="689987270">
              <w:marLeft w:val="0"/>
              <w:marRight w:val="0"/>
              <w:marTop w:val="0"/>
              <w:marBottom w:val="0"/>
              <w:divBdr>
                <w:top w:val="none" w:sz="0" w:space="0" w:color="auto"/>
                <w:left w:val="none" w:sz="0" w:space="0" w:color="auto"/>
                <w:bottom w:val="none" w:sz="0" w:space="0" w:color="auto"/>
                <w:right w:val="none" w:sz="0" w:space="0" w:color="auto"/>
              </w:divBdr>
            </w:div>
            <w:div w:id="1996034632">
              <w:marLeft w:val="0"/>
              <w:marRight w:val="0"/>
              <w:marTop w:val="0"/>
              <w:marBottom w:val="0"/>
              <w:divBdr>
                <w:top w:val="none" w:sz="0" w:space="0" w:color="auto"/>
                <w:left w:val="none" w:sz="0" w:space="0" w:color="auto"/>
                <w:bottom w:val="none" w:sz="0" w:space="0" w:color="auto"/>
                <w:right w:val="none" w:sz="0" w:space="0" w:color="auto"/>
              </w:divBdr>
            </w:div>
            <w:div w:id="1539273345">
              <w:marLeft w:val="0"/>
              <w:marRight w:val="0"/>
              <w:marTop w:val="0"/>
              <w:marBottom w:val="0"/>
              <w:divBdr>
                <w:top w:val="none" w:sz="0" w:space="0" w:color="auto"/>
                <w:left w:val="none" w:sz="0" w:space="0" w:color="auto"/>
                <w:bottom w:val="none" w:sz="0" w:space="0" w:color="auto"/>
                <w:right w:val="none" w:sz="0" w:space="0" w:color="auto"/>
              </w:divBdr>
            </w:div>
            <w:div w:id="1942107446">
              <w:marLeft w:val="0"/>
              <w:marRight w:val="0"/>
              <w:marTop w:val="0"/>
              <w:marBottom w:val="0"/>
              <w:divBdr>
                <w:top w:val="none" w:sz="0" w:space="0" w:color="auto"/>
                <w:left w:val="none" w:sz="0" w:space="0" w:color="auto"/>
                <w:bottom w:val="none" w:sz="0" w:space="0" w:color="auto"/>
                <w:right w:val="none" w:sz="0" w:space="0" w:color="auto"/>
              </w:divBdr>
            </w:div>
            <w:div w:id="2112970926">
              <w:marLeft w:val="0"/>
              <w:marRight w:val="0"/>
              <w:marTop w:val="0"/>
              <w:marBottom w:val="0"/>
              <w:divBdr>
                <w:top w:val="none" w:sz="0" w:space="0" w:color="auto"/>
                <w:left w:val="none" w:sz="0" w:space="0" w:color="auto"/>
                <w:bottom w:val="none" w:sz="0" w:space="0" w:color="auto"/>
                <w:right w:val="none" w:sz="0" w:space="0" w:color="auto"/>
              </w:divBdr>
            </w:div>
          </w:divsChild>
        </w:div>
        <w:div w:id="114062550">
          <w:marLeft w:val="0"/>
          <w:marRight w:val="0"/>
          <w:marTop w:val="0"/>
          <w:marBottom w:val="0"/>
          <w:divBdr>
            <w:top w:val="none" w:sz="0" w:space="0" w:color="auto"/>
            <w:left w:val="none" w:sz="0" w:space="0" w:color="auto"/>
            <w:bottom w:val="none" w:sz="0" w:space="0" w:color="auto"/>
            <w:right w:val="none" w:sz="0" w:space="0" w:color="auto"/>
          </w:divBdr>
          <w:divsChild>
            <w:div w:id="512034353">
              <w:marLeft w:val="0"/>
              <w:marRight w:val="0"/>
              <w:marTop w:val="0"/>
              <w:marBottom w:val="0"/>
              <w:divBdr>
                <w:top w:val="none" w:sz="0" w:space="0" w:color="auto"/>
                <w:left w:val="none" w:sz="0" w:space="0" w:color="auto"/>
                <w:bottom w:val="none" w:sz="0" w:space="0" w:color="auto"/>
                <w:right w:val="none" w:sz="0" w:space="0" w:color="auto"/>
              </w:divBdr>
            </w:div>
          </w:divsChild>
        </w:div>
        <w:div w:id="1717389789">
          <w:marLeft w:val="0"/>
          <w:marRight w:val="0"/>
          <w:marTop w:val="0"/>
          <w:marBottom w:val="0"/>
          <w:divBdr>
            <w:top w:val="none" w:sz="0" w:space="0" w:color="auto"/>
            <w:left w:val="none" w:sz="0" w:space="0" w:color="auto"/>
            <w:bottom w:val="none" w:sz="0" w:space="0" w:color="auto"/>
            <w:right w:val="none" w:sz="0" w:space="0" w:color="auto"/>
          </w:divBdr>
          <w:divsChild>
            <w:div w:id="1281568411">
              <w:marLeft w:val="0"/>
              <w:marRight w:val="0"/>
              <w:marTop w:val="0"/>
              <w:marBottom w:val="0"/>
              <w:divBdr>
                <w:top w:val="none" w:sz="0" w:space="0" w:color="auto"/>
                <w:left w:val="none" w:sz="0" w:space="0" w:color="auto"/>
                <w:bottom w:val="none" w:sz="0" w:space="0" w:color="auto"/>
                <w:right w:val="none" w:sz="0" w:space="0" w:color="auto"/>
              </w:divBdr>
            </w:div>
            <w:div w:id="235823967">
              <w:marLeft w:val="0"/>
              <w:marRight w:val="0"/>
              <w:marTop w:val="0"/>
              <w:marBottom w:val="0"/>
              <w:divBdr>
                <w:top w:val="none" w:sz="0" w:space="0" w:color="auto"/>
                <w:left w:val="none" w:sz="0" w:space="0" w:color="auto"/>
                <w:bottom w:val="none" w:sz="0" w:space="0" w:color="auto"/>
                <w:right w:val="none" w:sz="0" w:space="0" w:color="auto"/>
              </w:divBdr>
            </w:div>
            <w:div w:id="1424687725">
              <w:marLeft w:val="0"/>
              <w:marRight w:val="0"/>
              <w:marTop w:val="0"/>
              <w:marBottom w:val="0"/>
              <w:divBdr>
                <w:top w:val="none" w:sz="0" w:space="0" w:color="auto"/>
                <w:left w:val="none" w:sz="0" w:space="0" w:color="auto"/>
                <w:bottom w:val="none" w:sz="0" w:space="0" w:color="auto"/>
                <w:right w:val="none" w:sz="0" w:space="0" w:color="auto"/>
              </w:divBdr>
            </w:div>
            <w:div w:id="595602084">
              <w:marLeft w:val="0"/>
              <w:marRight w:val="0"/>
              <w:marTop w:val="0"/>
              <w:marBottom w:val="0"/>
              <w:divBdr>
                <w:top w:val="none" w:sz="0" w:space="0" w:color="auto"/>
                <w:left w:val="none" w:sz="0" w:space="0" w:color="auto"/>
                <w:bottom w:val="none" w:sz="0" w:space="0" w:color="auto"/>
                <w:right w:val="none" w:sz="0" w:space="0" w:color="auto"/>
              </w:divBdr>
            </w:div>
            <w:div w:id="1513494760">
              <w:marLeft w:val="0"/>
              <w:marRight w:val="0"/>
              <w:marTop w:val="0"/>
              <w:marBottom w:val="0"/>
              <w:divBdr>
                <w:top w:val="none" w:sz="0" w:space="0" w:color="auto"/>
                <w:left w:val="none" w:sz="0" w:space="0" w:color="auto"/>
                <w:bottom w:val="none" w:sz="0" w:space="0" w:color="auto"/>
                <w:right w:val="none" w:sz="0" w:space="0" w:color="auto"/>
              </w:divBdr>
            </w:div>
            <w:div w:id="2056077322">
              <w:marLeft w:val="0"/>
              <w:marRight w:val="0"/>
              <w:marTop w:val="0"/>
              <w:marBottom w:val="0"/>
              <w:divBdr>
                <w:top w:val="none" w:sz="0" w:space="0" w:color="auto"/>
                <w:left w:val="none" w:sz="0" w:space="0" w:color="auto"/>
                <w:bottom w:val="none" w:sz="0" w:space="0" w:color="auto"/>
                <w:right w:val="none" w:sz="0" w:space="0" w:color="auto"/>
              </w:divBdr>
            </w:div>
            <w:div w:id="1365247690">
              <w:marLeft w:val="0"/>
              <w:marRight w:val="0"/>
              <w:marTop w:val="0"/>
              <w:marBottom w:val="0"/>
              <w:divBdr>
                <w:top w:val="none" w:sz="0" w:space="0" w:color="auto"/>
                <w:left w:val="none" w:sz="0" w:space="0" w:color="auto"/>
                <w:bottom w:val="none" w:sz="0" w:space="0" w:color="auto"/>
                <w:right w:val="none" w:sz="0" w:space="0" w:color="auto"/>
              </w:divBdr>
            </w:div>
            <w:div w:id="2007398665">
              <w:marLeft w:val="0"/>
              <w:marRight w:val="0"/>
              <w:marTop w:val="0"/>
              <w:marBottom w:val="0"/>
              <w:divBdr>
                <w:top w:val="none" w:sz="0" w:space="0" w:color="auto"/>
                <w:left w:val="none" w:sz="0" w:space="0" w:color="auto"/>
                <w:bottom w:val="none" w:sz="0" w:space="0" w:color="auto"/>
                <w:right w:val="none" w:sz="0" w:space="0" w:color="auto"/>
              </w:divBdr>
            </w:div>
            <w:div w:id="1827161346">
              <w:marLeft w:val="0"/>
              <w:marRight w:val="0"/>
              <w:marTop w:val="0"/>
              <w:marBottom w:val="0"/>
              <w:divBdr>
                <w:top w:val="none" w:sz="0" w:space="0" w:color="auto"/>
                <w:left w:val="none" w:sz="0" w:space="0" w:color="auto"/>
                <w:bottom w:val="none" w:sz="0" w:space="0" w:color="auto"/>
                <w:right w:val="none" w:sz="0" w:space="0" w:color="auto"/>
              </w:divBdr>
            </w:div>
            <w:div w:id="1881089133">
              <w:marLeft w:val="0"/>
              <w:marRight w:val="0"/>
              <w:marTop w:val="0"/>
              <w:marBottom w:val="0"/>
              <w:divBdr>
                <w:top w:val="none" w:sz="0" w:space="0" w:color="auto"/>
                <w:left w:val="none" w:sz="0" w:space="0" w:color="auto"/>
                <w:bottom w:val="none" w:sz="0" w:space="0" w:color="auto"/>
                <w:right w:val="none" w:sz="0" w:space="0" w:color="auto"/>
              </w:divBdr>
            </w:div>
            <w:div w:id="1951231551">
              <w:marLeft w:val="0"/>
              <w:marRight w:val="0"/>
              <w:marTop w:val="0"/>
              <w:marBottom w:val="0"/>
              <w:divBdr>
                <w:top w:val="none" w:sz="0" w:space="0" w:color="auto"/>
                <w:left w:val="none" w:sz="0" w:space="0" w:color="auto"/>
                <w:bottom w:val="none" w:sz="0" w:space="0" w:color="auto"/>
                <w:right w:val="none" w:sz="0" w:space="0" w:color="auto"/>
              </w:divBdr>
            </w:div>
            <w:div w:id="179590773">
              <w:marLeft w:val="0"/>
              <w:marRight w:val="0"/>
              <w:marTop w:val="0"/>
              <w:marBottom w:val="0"/>
              <w:divBdr>
                <w:top w:val="none" w:sz="0" w:space="0" w:color="auto"/>
                <w:left w:val="none" w:sz="0" w:space="0" w:color="auto"/>
                <w:bottom w:val="none" w:sz="0" w:space="0" w:color="auto"/>
                <w:right w:val="none" w:sz="0" w:space="0" w:color="auto"/>
              </w:divBdr>
            </w:div>
            <w:div w:id="1983655297">
              <w:marLeft w:val="0"/>
              <w:marRight w:val="0"/>
              <w:marTop w:val="0"/>
              <w:marBottom w:val="0"/>
              <w:divBdr>
                <w:top w:val="none" w:sz="0" w:space="0" w:color="auto"/>
                <w:left w:val="none" w:sz="0" w:space="0" w:color="auto"/>
                <w:bottom w:val="none" w:sz="0" w:space="0" w:color="auto"/>
                <w:right w:val="none" w:sz="0" w:space="0" w:color="auto"/>
              </w:divBdr>
            </w:div>
            <w:div w:id="811144412">
              <w:marLeft w:val="0"/>
              <w:marRight w:val="0"/>
              <w:marTop w:val="0"/>
              <w:marBottom w:val="0"/>
              <w:divBdr>
                <w:top w:val="none" w:sz="0" w:space="0" w:color="auto"/>
                <w:left w:val="none" w:sz="0" w:space="0" w:color="auto"/>
                <w:bottom w:val="none" w:sz="0" w:space="0" w:color="auto"/>
                <w:right w:val="none" w:sz="0" w:space="0" w:color="auto"/>
              </w:divBdr>
            </w:div>
            <w:div w:id="1028877517">
              <w:marLeft w:val="0"/>
              <w:marRight w:val="0"/>
              <w:marTop w:val="0"/>
              <w:marBottom w:val="0"/>
              <w:divBdr>
                <w:top w:val="none" w:sz="0" w:space="0" w:color="auto"/>
                <w:left w:val="none" w:sz="0" w:space="0" w:color="auto"/>
                <w:bottom w:val="none" w:sz="0" w:space="0" w:color="auto"/>
                <w:right w:val="none" w:sz="0" w:space="0" w:color="auto"/>
              </w:divBdr>
            </w:div>
            <w:div w:id="229386476">
              <w:marLeft w:val="0"/>
              <w:marRight w:val="0"/>
              <w:marTop w:val="0"/>
              <w:marBottom w:val="0"/>
              <w:divBdr>
                <w:top w:val="none" w:sz="0" w:space="0" w:color="auto"/>
                <w:left w:val="none" w:sz="0" w:space="0" w:color="auto"/>
                <w:bottom w:val="none" w:sz="0" w:space="0" w:color="auto"/>
                <w:right w:val="none" w:sz="0" w:space="0" w:color="auto"/>
              </w:divBdr>
            </w:div>
            <w:div w:id="2056152728">
              <w:marLeft w:val="0"/>
              <w:marRight w:val="0"/>
              <w:marTop w:val="0"/>
              <w:marBottom w:val="0"/>
              <w:divBdr>
                <w:top w:val="none" w:sz="0" w:space="0" w:color="auto"/>
                <w:left w:val="none" w:sz="0" w:space="0" w:color="auto"/>
                <w:bottom w:val="none" w:sz="0" w:space="0" w:color="auto"/>
                <w:right w:val="none" w:sz="0" w:space="0" w:color="auto"/>
              </w:divBdr>
            </w:div>
            <w:div w:id="2013991665">
              <w:marLeft w:val="0"/>
              <w:marRight w:val="0"/>
              <w:marTop w:val="0"/>
              <w:marBottom w:val="0"/>
              <w:divBdr>
                <w:top w:val="none" w:sz="0" w:space="0" w:color="auto"/>
                <w:left w:val="none" w:sz="0" w:space="0" w:color="auto"/>
                <w:bottom w:val="none" w:sz="0" w:space="0" w:color="auto"/>
                <w:right w:val="none" w:sz="0" w:space="0" w:color="auto"/>
              </w:divBdr>
            </w:div>
            <w:div w:id="974143187">
              <w:marLeft w:val="0"/>
              <w:marRight w:val="0"/>
              <w:marTop w:val="0"/>
              <w:marBottom w:val="0"/>
              <w:divBdr>
                <w:top w:val="none" w:sz="0" w:space="0" w:color="auto"/>
                <w:left w:val="none" w:sz="0" w:space="0" w:color="auto"/>
                <w:bottom w:val="none" w:sz="0" w:space="0" w:color="auto"/>
                <w:right w:val="none" w:sz="0" w:space="0" w:color="auto"/>
              </w:divBdr>
            </w:div>
            <w:div w:id="850484597">
              <w:marLeft w:val="0"/>
              <w:marRight w:val="0"/>
              <w:marTop w:val="0"/>
              <w:marBottom w:val="0"/>
              <w:divBdr>
                <w:top w:val="none" w:sz="0" w:space="0" w:color="auto"/>
                <w:left w:val="none" w:sz="0" w:space="0" w:color="auto"/>
                <w:bottom w:val="none" w:sz="0" w:space="0" w:color="auto"/>
                <w:right w:val="none" w:sz="0" w:space="0" w:color="auto"/>
              </w:divBdr>
            </w:div>
          </w:divsChild>
        </w:div>
        <w:div w:id="42021791">
          <w:marLeft w:val="0"/>
          <w:marRight w:val="0"/>
          <w:marTop w:val="0"/>
          <w:marBottom w:val="0"/>
          <w:divBdr>
            <w:top w:val="none" w:sz="0" w:space="0" w:color="auto"/>
            <w:left w:val="none" w:sz="0" w:space="0" w:color="auto"/>
            <w:bottom w:val="none" w:sz="0" w:space="0" w:color="auto"/>
            <w:right w:val="none" w:sz="0" w:space="0" w:color="auto"/>
          </w:divBdr>
          <w:divsChild>
            <w:div w:id="794636001">
              <w:marLeft w:val="0"/>
              <w:marRight w:val="0"/>
              <w:marTop w:val="0"/>
              <w:marBottom w:val="0"/>
              <w:divBdr>
                <w:top w:val="none" w:sz="0" w:space="0" w:color="auto"/>
                <w:left w:val="none" w:sz="0" w:space="0" w:color="auto"/>
                <w:bottom w:val="none" w:sz="0" w:space="0" w:color="auto"/>
                <w:right w:val="none" w:sz="0" w:space="0" w:color="auto"/>
              </w:divBdr>
            </w:div>
          </w:divsChild>
        </w:div>
        <w:div w:id="162822961">
          <w:marLeft w:val="0"/>
          <w:marRight w:val="0"/>
          <w:marTop w:val="0"/>
          <w:marBottom w:val="0"/>
          <w:divBdr>
            <w:top w:val="none" w:sz="0" w:space="0" w:color="auto"/>
            <w:left w:val="none" w:sz="0" w:space="0" w:color="auto"/>
            <w:bottom w:val="none" w:sz="0" w:space="0" w:color="auto"/>
            <w:right w:val="none" w:sz="0" w:space="0" w:color="auto"/>
          </w:divBdr>
          <w:divsChild>
            <w:div w:id="1394817096">
              <w:marLeft w:val="0"/>
              <w:marRight w:val="0"/>
              <w:marTop w:val="0"/>
              <w:marBottom w:val="0"/>
              <w:divBdr>
                <w:top w:val="none" w:sz="0" w:space="0" w:color="auto"/>
                <w:left w:val="none" w:sz="0" w:space="0" w:color="auto"/>
                <w:bottom w:val="none" w:sz="0" w:space="0" w:color="auto"/>
                <w:right w:val="none" w:sz="0" w:space="0" w:color="auto"/>
              </w:divBdr>
            </w:div>
            <w:div w:id="917514676">
              <w:marLeft w:val="0"/>
              <w:marRight w:val="0"/>
              <w:marTop w:val="0"/>
              <w:marBottom w:val="0"/>
              <w:divBdr>
                <w:top w:val="none" w:sz="0" w:space="0" w:color="auto"/>
                <w:left w:val="none" w:sz="0" w:space="0" w:color="auto"/>
                <w:bottom w:val="none" w:sz="0" w:space="0" w:color="auto"/>
                <w:right w:val="none" w:sz="0" w:space="0" w:color="auto"/>
              </w:divBdr>
            </w:div>
            <w:div w:id="2067677093">
              <w:marLeft w:val="0"/>
              <w:marRight w:val="0"/>
              <w:marTop w:val="0"/>
              <w:marBottom w:val="0"/>
              <w:divBdr>
                <w:top w:val="none" w:sz="0" w:space="0" w:color="auto"/>
                <w:left w:val="none" w:sz="0" w:space="0" w:color="auto"/>
                <w:bottom w:val="none" w:sz="0" w:space="0" w:color="auto"/>
                <w:right w:val="none" w:sz="0" w:space="0" w:color="auto"/>
              </w:divBdr>
            </w:div>
            <w:div w:id="1094595179">
              <w:marLeft w:val="0"/>
              <w:marRight w:val="0"/>
              <w:marTop w:val="0"/>
              <w:marBottom w:val="0"/>
              <w:divBdr>
                <w:top w:val="none" w:sz="0" w:space="0" w:color="auto"/>
                <w:left w:val="none" w:sz="0" w:space="0" w:color="auto"/>
                <w:bottom w:val="none" w:sz="0" w:space="0" w:color="auto"/>
                <w:right w:val="none" w:sz="0" w:space="0" w:color="auto"/>
              </w:divBdr>
            </w:div>
            <w:div w:id="1502575042">
              <w:marLeft w:val="0"/>
              <w:marRight w:val="0"/>
              <w:marTop w:val="0"/>
              <w:marBottom w:val="0"/>
              <w:divBdr>
                <w:top w:val="none" w:sz="0" w:space="0" w:color="auto"/>
                <w:left w:val="none" w:sz="0" w:space="0" w:color="auto"/>
                <w:bottom w:val="none" w:sz="0" w:space="0" w:color="auto"/>
                <w:right w:val="none" w:sz="0" w:space="0" w:color="auto"/>
              </w:divBdr>
            </w:div>
            <w:div w:id="819922475">
              <w:marLeft w:val="0"/>
              <w:marRight w:val="0"/>
              <w:marTop w:val="0"/>
              <w:marBottom w:val="0"/>
              <w:divBdr>
                <w:top w:val="none" w:sz="0" w:space="0" w:color="auto"/>
                <w:left w:val="none" w:sz="0" w:space="0" w:color="auto"/>
                <w:bottom w:val="none" w:sz="0" w:space="0" w:color="auto"/>
                <w:right w:val="none" w:sz="0" w:space="0" w:color="auto"/>
              </w:divBdr>
            </w:div>
            <w:div w:id="684289473">
              <w:marLeft w:val="0"/>
              <w:marRight w:val="0"/>
              <w:marTop w:val="0"/>
              <w:marBottom w:val="0"/>
              <w:divBdr>
                <w:top w:val="none" w:sz="0" w:space="0" w:color="auto"/>
                <w:left w:val="none" w:sz="0" w:space="0" w:color="auto"/>
                <w:bottom w:val="none" w:sz="0" w:space="0" w:color="auto"/>
                <w:right w:val="none" w:sz="0" w:space="0" w:color="auto"/>
              </w:divBdr>
            </w:div>
            <w:div w:id="928998975">
              <w:marLeft w:val="0"/>
              <w:marRight w:val="0"/>
              <w:marTop w:val="0"/>
              <w:marBottom w:val="0"/>
              <w:divBdr>
                <w:top w:val="none" w:sz="0" w:space="0" w:color="auto"/>
                <w:left w:val="none" w:sz="0" w:space="0" w:color="auto"/>
                <w:bottom w:val="none" w:sz="0" w:space="0" w:color="auto"/>
                <w:right w:val="none" w:sz="0" w:space="0" w:color="auto"/>
              </w:divBdr>
            </w:div>
            <w:div w:id="412050157">
              <w:marLeft w:val="0"/>
              <w:marRight w:val="0"/>
              <w:marTop w:val="0"/>
              <w:marBottom w:val="0"/>
              <w:divBdr>
                <w:top w:val="none" w:sz="0" w:space="0" w:color="auto"/>
                <w:left w:val="none" w:sz="0" w:space="0" w:color="auto"/>
                <w:bottom w:val="none" w:sz="0" w:space="0" w:color="auto"/>
                <w:right w:val="none" w:sz="0" w:space="0" w:color="auto"/>
              </w:divBdr>
            </w:div>
            <w:div w:id="1272737486">
              <w:marLeft w:val="0"/>
              <w:marRight w:val="0"/>
              <w:marTop w:val="0"/>
              <w:marBottom w:val="0"/>
              <w:divBdr>
                <w:top w:val="none" w:sz="0" w:space="0" w:color="auto"/>
                <w:left w:val="none" w:sz="0" w:space="0" w:color="auto"/>
                <w:bottom w:val="none" w:sz="0" w:space="0" w:color="auto"/>
                <w:right w:val="none" w:sz="0" w:space="0" w:color="auto"/>
              </w:divBdr>
            </w:div>
          </w:divsChild>
        </w:div>
        <w:div w:id="966354673">
          <w:marLeft w:val="0"/>
          <w:marRight w:val="0"/>
          <w:marTop w:val="0"/>
          <w:marBottom w:val="0"/>
          <w:divBdr>
            <w:top w:val="none" w:sz="0" w:space="0" w:color="auto"/>
            <w:left w:val="none" w:sz="0" w:space="0" w:color="auto"/>
            <w:bottom w:val="none" w:sz="0" w:space="0" w:color="auto"/>
            <w:right w:val="none" w:sz="0" w:space="0" w:color="auto"/>
          </w:divBdr>
          <w:divsChild>
            <w:div w:id="964897079">
              <w:marLeft w:val="0"/>
              <w:marRight w:val="0"/>
              <w:marTop w:val="0"/>
              <w:marBottom w:val="0"/>
              <w:divBdr>
                <w:top w:val="none" w:sz="0" w:space="0" w:color="auto"/>
                <w:left w:val="none" w:sz="0" w:space="0" w:color="auto"/>
                <w:bottom w:val="none" w:sz="0" w:space="0" w:color="auto"/>
                <w:right w:val="none" w:sz="0" w:space="0" w:color="auto"/>
              </w:divBdr>
            </w:div>
          </w:divsChild>
        </w:div>
        <w:div w:id="647782567">
          <w:marLeft w:val="0"/>
          <w:marRight w:val="0"/>
          <w:marTop w:val="0"/>
          <w:marBottom w:val="0"/>
          <w:divBdr>
            <w:top w:val="none" w:sz="0" w:space="0" w:color="auto"/>
            <w:left w:val="none" w:sz="0" w:space="0" w:color="auto"/>
            <w:bottom w:val="none" w:sz="0" w:space="0" w:color="auto"/>
            <w:right w:val="none" w:sz="0" w:space="0" w:color="auto"/>
          </w:divBdr>
          <w:divsChild>
            <w:div w:id="1651206001">
              <w:marLeft w:val="0"/>
              <w:marRight w:val="0"/>
              <w:marTop w:val="0"/>
              <w:marBottom w:val="0"/>
              <w:divBdr>
                <w:top w:val="none" w:sz="0" w:space="0" w:color="auto"/>
                <w:left w:val="none" w:sz="0" w:space="0" w:color="auto"/>
                <w:bottom w:val="none" w:sz="0" w:space="0" w:color="auto"/>
                <w:right w:val="none" w:sz="0" w:space="0" w:color="auto"/>
              </w:divBdr>
            </w:div>
            <w:div w:id="1891765175">
              <w:marLeft w:val="0"/>
              <w:marRight w:val="0"/>
              <w:marTop w:val="0"/>
              <w:marBottom w:val="0"/>
              <w:divBdr>
                <w:top w:val="none" w:sz="0" w:space="0" w:color="auto"/>
                <w:left w:val="none" w:sz="0" w:space="0" w:color="auto"/>
                <w:bottom w:val="none" w:sz="0" w:space="0" w:color="auto"/>
                <w:right w:val="none" w:sz="0" w:space="0" w:color="auto"/>
              </w:divBdr>
            </w:div>
            <w:div w:id="1913807452">
              <w:marLeft w:val="0"/>
              <w:marRight w:val="0"/>
              <w:marTop w:val="0"/>
              <w:marBottom w:val="0"/>
              <w:divBdr>
                <w:top w:val="none" w:sz="0" w:space="0" w:color="auto"/>
                <w:left w:val="none" w:sz="0" w:space="0" w:color="auto"/>
                <w:bottom w:val="none" w:sz="0" w:space="0" w:color="auto"/>
                <w:right w:val="none" w:sz="0" w:space="0" w:color="auto"/>
              </w:divBdr>
            </w:div>
            <w:div w:id="4261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c.europa.eu/commission/presscorner/detail/%5beuropa_tokens:europa_interface_language%5d/ip_20_1340" TargetMode="External"/><Relationship Id="rId21" Type="http://schemas.openxmlformats.org/officeDocument/2006/relationships/hyperlink" Target="https://ec.europa.eu/commission/presscorner/detail/es/ip_21_6283" TargetMode="External"/><Relationship Id="rId42" Type="http://schemas.openxmlformats.org/officeDocument/2006/relationships/hyperlink" Target="https://ec.europa.eu/commission/presscorner/detail/en/ip_21_3287" TargetMode="External"/><Relationship Id="rId47" Type="http://schemas.openxmlformats.org/officeDocument/2006/relationships/hyperlink" Target="https://global-health-summit.europa.eu/" TargetMode="External"/><Relationship Id="rId63" Type="http://schemas.openxmlformats.org/officeDocument/2006/relationships/hyperlink" Target="https://ec.europa.eu/info/business-economy-euro/recovery-coronavirus/recovery-and-resilience-facility_en" TargetMode="External"/><Relationship Id="rId68" Type="http://schemas.openxmlformats.org/officeDocument/2006/relationships/hyperlink" Target="https://ec.europa.eu/commission/presscorner/detail/en/ip_20_2539" TargetMode="External"/><Relationship Id="rId84" Type="http://schemas.openxmlformats.org/officeDocument/2006/relationships/hyperlink" Target="https://ec.europa.eu/commission/presscorner/detail/en/ip_20_1829" TargetMode="External"/><Relationship Id="rId89" Type="http://schemas.openxmlformats.org/officeDocument/2006/relationships/hyperlink" Target="https://ec.europa.eu/commission/presscorner/detail/en/ip_20_1513" TargetMode="External"/><Relationship Id="rId112" Type="http://schemas.openxmlformats.org/officeDocument/2006/relationships/hyperlink" Target="https://ec.europa.eu/regional_policy/es/newsroom/funding-opportunities/calls-for-expressions-of-interest/" TargetMode="External"/><Relationship Id="rId133" Type="http://schemas.openxmlformats.org/officeDocument/2006/relationships/hyperlink" Target="https://biontech.de/" TargetMode="External"/><Relationship Id="rId138" Type="http://schemas.openxmlformats.org/officeDocument/2006/relationships/hyperlink" Target="https://audiovisual.ec.europa.eu/en/video/I-191611" TargetMode="External"/><Relationship Id="rId154" Type="http://schemas.openxmlformats.org/officeDocument/2006/relationships/hyperlink" Target="https://ec.europa.eu/commission/presscorner/detail/es/ip_20_837" TargetMode="External"/><Relationship Id="rId159" Type="http://schemas.openxmlformats.org/officeDocument/2006/relationships/hyperlink" Target="https://audiovisual.ec.europa.eu/en/video/I-189857" TargetMode="External"/><Relationship Id="rId175" Type="http://schemas.openxmlformats.org/officeDocument/2006/relationships/hyperlink" Target="https://ec.europa.eu/commission/presscorner/detail/es/ip_20_535" TargetMode="External"/><Relationship Id="rId170" Type="http://schemas.openxmlformats.org/officeDocument/2006/relationships/hyperlink" Target="https://ec.europa.eu/commission/presscorner/detail/es/ip_20_562" TargetMode="External"/><Relationship Id="rId191" Type="http://schemas.openxmlformats.org/officeDocument/2006/relationships/hyperlink" Target="https://ec.europa.eu/commission/presscorner/detail/es/statement_20_178" TargetMode="External"/><Relationship Id="rId196" Type="http://schemas.openxmlformats.org/officeDocument/2006/relationships/theme" Target="theme/theme1.xml"/><Relationship Id="rId16" Type="http://schemas.openxmlformats.org/officeDocument/2006/relationships/hyperlink" Target="https://ec.europa.eu/info/live-work-travel-eu/coronavirus-response/safe-covid-19-vaccines-europeans/eu-digital-covid-certificate_en" TargetMode="External"/><Relationship Id="rId107" Type="http://schemas.openxmlformats.org/officeDocument/2006/relationships/hyperlink" Target="https://ec.europa.eu/commission/presscorner/detail/%5beuropa_tokens:europa_interface_language%5d/ip_20_1496" TargetMode="External"/><Relationship Id="rId11" Type="http://schemas.openxmlformats.org/officeDocument/2006/relationships/hyperlink" Target="https://ec.europa.eu/commission/presscorner/detail/en/ip_22_2282" TargetMode="External"/><Relationship Id="rId32" Type="http://schemas.openxmlformats.org/officeDocument/2006/relationships/hyperlink" Target="https://ec.europa.eu/commission/presscorner/detail/en/ip_21_4913" TargetMode="External"/><Relationship Id="rId37" Type="http://schemas.openxmlformats.org/officeDocument/2006/relationships/hyperlink" Target="https://ec.europa.eu/commission/presscorner/detail/en/ip_21_4224" TargetMode="External"/><Relationship Id="rId53" Type="http://schemas.openxmlformats.org/officeDocument/2006/relationships/hyperlink" Target="https://ec.europa.eu/commission/presscorner/detail/en/statement_21_1741" TargetMode="External"/><Relationship Id="rId58" Type="http://schemas.openxmlformats.org/officeDocument/2006/relationships/hyperlink" Target="https://ec.europa.eu/commission/presscorner/detail/en/ip_21_1352" TargetMode="External"/><Relationship Id="rId74" Type="http://schemas.openxmlformats.org/officeDocument/2006/relationships/hyperlink" Target="https://ec.europa.eu/info/strategy/priorities-2019-2024/promoting-our-european-way-life/european-health-union_en" TargetMode="External"/><Relationship Id="rId79" Type="http://schemas.openxmlformats.org/officeDocument/2006/relationships/hyperlink" Target="https://ec.europa.eu/commission/presscorner/detail/en/ip_20_1954" TargetMode="External"/><Relationship Id="rId102" Type="http://schemas.openxmlformats.org/officeDocument/2006/relationships/hyperlink" Target="https://ec.europa.eu/commission/presscorner/detail/%5beuropa_tokens:europa_interface_language%5d/ip_20_1524" TargetMode="External"/><Relationship Id="rId123" Type="http://schemas.openxmlformats.org/officeDocument/2006/relationships/hyperlink" Target="https://www.consilium.europa.eu/es/press/press-releases/2020/06/24/increased-support-for-eu-farmers-affected-by-the-covid-19-crisis-council-adopts-exceptional-measures/" TargetMode="External"/><Relationship Id="rId128" Type="http://schemas.openxmlformats.org/officeDocument/2006/relationships/hyperlink" Target="https://ec.europa.eu/commission/presscorner/detail/en/ip_20_1118" TargetMode="External"/><Relationship Id="rId144" Type="http://schemas.openxmlformats.org/officeDocument/2006/relationships/hyperlink" Target="https://ec.europa.eu/commission/presscorner/detail/es/mex_20_939" TargetMode="External"/><Relationship Id="rId149" Type="http://schemas.openxmlformats.org/officeDocument/2006/relationships/hyperlink" Target="https://ec.europa.eu/commission/presscorner/detail/es/ip_20_880" TargetMode="External"/><Relationship Id="rId5" Type="http://schemas.openxmlformats.org/officeDocument/2006/relationships/image" Target="media/image1.png"/><Relationship Id="rId90" Type="http://schemas.openxmlformats.org/officeDocument/2006/relationships/hyperlink" Target="https://www.consilium.europa.eu/en/press/press-releases/2020/09/25/covid-19-council-approves-87-4-billion-in-financial-support-for-member-states-under-sure/" TargetMode="External"/><Relationship Id="rId95" Type="http://schemas.openxmlformats.org/officeDocument/2006/relationships/hyperlink" Target="https://ec.europa.eu/commission/presscorner/detail/en/ip_20_1556" TargetMode="External"/><Relationship Id="rId160" Type="http://schemas.openxmlformats.org/officeDocument/2006/relationships/hyperlink" Target="https://ec.europa.eu/commission/presscorner/detail/es/ip_20_718" TargetMode="External"/><Relationship Id="rId165" Type="http://schemas.openxmlformats.org/officeDocument/2006/relationships/hyperlink" Target="https://ec.europa.eu/commission/presscorner/detail/es/mex_20_709" TargetMode="External"/><Relationship Id="rId181" Type="http://schemas.openxmlformats.org/officeDocument/2006/relationships/hyperlink" Target="https://audiovisual.ec.europa.eu/en/topnews/M-004610" TargetMode="External"/><Relationship Id="rId186" Type="http://schemas.openxmlformats.org/officeDocument/2006/relationships/hyperlink" Target="https://ec.europa.eu/commission/presscorner/detail/es/ip_20_502" TargetMode="External"/><Relationship Id="rId22" Type="http://schemas.openxmlformats.org/officeDocument/2006/relationships/hyperlink" Target="https://ec.europa.eu/commission/presscorner/detail/es/ip_21_6186" TargetMode="External"/><Relationship Id="rId27" Type="http://schemas.openxmlformats.org/officeDocument/2006/relationships/hyperlink" Target="https://ec.europa.eu/commission/presscorner/detail/en/ip_21_5460" TargetMode="External"/><Relationship Id="rId43" Type="http://schemas.openxmlformats.org/officeDocument/2006/relationships/hyperlink" Target="https://ec.europa.eu/commission/presscorner/detail/en/ip_21_3299" TargetMode="External"/><Relationship Id="rId48" Type="http://schemas.openxmlformats.org/officeDocument/2006/relationships/hyperlink" Target="https://ec.europa.eu/commission/presscorner/detail/en/ip_21_2594" TargetMode="External"/><Relationship Id="rId64" Type="http://schemas.openxmlformats.org/officeDocument/2006/relationships/hyperlink" Target="https://ec.europa.eu/commission/presscorner/detail/en/ip_21_51" TargetMode="External"/><Relationship Id="rId69" Type="http://schemas.openxmlformats.org/officeDocument/2006/relationships/hyperlink" Target="https://ec.europa.eu/commission/presscorner/detail/en/ip_20_2520" TargetMode="External"/><Relationship Id="rId113" Type="http://schemas.openxmlformats.org/officeDocument/2006/relationships/hyperlink" Target="https://ec.europa.eu/commission/presscorner/detail/%5beuropa_tokens:europa_interface_language%5d/ip_20_1382" TargetMode="External"/><Relationship Id="rId118" Type="http://schemas.openxmlformats.org/officeDocument/2006/relationships/hyperlink" Target="https://ec.europa.eu/commission/presscorner/detail/%5beuropa_tokens:europa_interface_language%5d/ip_20_1341" TargetMode="External"/><Relationship Id="rId134" Type="http://schemas.openxmlformats.org/officeDocument/2006/relationships/hyperlink" Target="https://ec.europa.eu/commission/presscorner/detail/en/ip_20_1034" TargetMode="External"/><Relationship Id="rId139" Type="http://schemas.openxmlformats.org/officeDocument/2006/relationships/hyperlink" Target="https://europa.eu/youreurope/business/running-business/developing-business/setting-up-european-company/index_en.htm" TargetMode="External"/><Relationship Id="rId80" Type="http://schemas.openxmlformats.org/officeDocument/2006/relationships/hyperlink" Target="https://ec.europa.eu/commission/presscorner/detail/en/ip_20_1904" TargetMode="External"/><Relationship Id="rId85" Type="http://schemas.openxmlformats.org/officeDocument/2006/relationships/hyperlink" Target="https://ec.europa.eu/commission/presscorner/detail/en/ip_20_1524" TargetMode="External"/><Relationship Id="rId150" Type="http://schemas.openxmlformats.org/officeDocument/2006/relationships/hyperlink" Target="https://ec.europa.eu/commission/presscorner/detail/es/ip_20_854" TargetMode="External"/><Relationship Id="rId155" Type="http://schemas.openxmlformats.org/officeDocument/2006/relationships/hyperlink" Target="https://ec.europa.eu/info/live-work-travel-eu/coronavirus-response/jobs-and-economy-during-coronavirus-pandemic/state-aid-cases_es" TargetMode="External"/><Relationship Id="rId171" Type="http://schemas.openxmlformats.org/officeDocument/2006/relationships/hyperlink" Target="https://ec.europa.eu/commission/presscorner/detail/es/ip_20_561" TargetMode="External"/><Relationship Id="rId176" Type="http://schemas.openxmlformats.org/officeDocument/2006/relationships/hyperlink" Target="https://audiovisual.ec.europa.eu/en/topnews/M-004592" TargetMode="External"/><Relationship Id="rId192" Type="http://schemas.openxmlformats.org/officeDocument/2006/relationships/hyperlink" Target="https://ec.europa.eu/commission/presscorner/detail/es/mex_20_175" TargetMode="External"/><Relationship Id="rId12" Type="http://schemas.openxmlformats.org/officeDocument/2006/relationships/hyperlink" Target="https://ec.europa.eu/commission/presscorner/detail/en/ip_22_1992" TargetMode="External"/><Relationship Id="rId17" Type="http://schemas.openxmlformats.org/officeDocument/2006/relationships/hyperlink" Target="https://ec.europa.eu/commission/presscorner/detail/en/ip_22_543" TargetMode="External"/><Relationship Id="rId33" Type="http://schemas.openxmlformats.org/officeDocument/2006/relationships/hyperlink" Target="https://ec.europa.eu/commission/presscorner/detail/en/ip_21_4067" TargetMode="External"/><Relationship Id="rId38" Type="http://schemas.openxmlformats.org/officeDocument/2006/relationships/hyperlink" Target="https://ec.europa.eu/commission/presscorner/detail/en/statement_21_3921" TargetMode="External"/><Relationship Id="rId59" Type="http://schemas.openxmlformats.org/officeDocument/2006/relationships/hyperlink" Target="https://ec.europa.eu/commission/presscorner/detail/en/ip_21_690" TargetMode="External"/><Relationship Id="rId103" Type="http://schemas.openxmlformats.org/officeDocument/2006/relationships/hyperlink" Target="https://ec.europa.eu/commission/presscorner/detail/%5beuropa_tokens:europa_interface_language%5d/ip_20_1439" TargetMode="External"/><Relationship Id="rId108" Type="http://schemas.openxmlformats.org/officeDocument/2006/relationships/hyperlink" Target="https://ec.europa.eu/commission/presscorner/detail/%5beuropa_tokens:europa_interface_language%5d/ip_20_1509" TargetMode="External"/><Relationship Id="rId124" Type="http://schemas.openxmlformats.org/officeDocument/2006/relationships/hyperlink" Target="https://www.consilium.europa.eu/en/press/press-releases/2020/06/24/taxation-council-agrees-on-the-postponement-of-certain-tax-rules/" TargetMode="External"/><Relationship Id="rId129" Type="http://schemas.openxmlformats.org/officeDocument/2006/relationships/hyperlink" Target="https://ec.europa.eu/commission/presscorner/detail/en/ip_20_1103" TargetMode="External"/><Relationship Id="rId54" Type="http://schemas.openxmlformats.org/officeDocument/2006/relationships/hyperlink" Target="https://ec.europa.eu/commission/presscorner/detail/en/ip_21_1467" TargetMode="External"/><Relationship Id="rId70" Type="http://schemas.openxmlformats.org/officeDocument/2006/relationships/hyperlink" Target="https://ec.europa.eu/commission/presscorner/detail/en/ip_20_2466" TargetMode="External"/><Relationship Id="rId75" Type="http://schemas.openxmlformats.org/officeDocument/2006/relationships/hyperlink" Target="https://ec.europa.eu/commission/presscorner/detail/en/ip_20_2081" TargetMode="External"/><Relationship Id="rId91" Type="http://schemas.openxmlformats.org/officeDocument/2006/relationships/hyperlink" Target="https://ec.europa.eu/commission/presscorner/detail/en/ip_20_1709" TargetMode="External"/><Relationship Id="rId96" Type="http://schemas.openxmlformats.org/officeDocument/2006/relationships/hyperlink" Target="https://ec.europa.eu/commission/presscorner/detail/en/ip_20_1439" TargetMode="External"/><Relationship Id="rId140" Type="http://schemas.openxmlformats.org/officeDocument/2006/relationships/hyperlink" Target="https://ec.europa.eu/growth/sectors/social-economy/cooperatives/european-cooperative-society_en" TargetMode="External"/><Relationship Id="rId145" Type="http://schemas.openxmlformats.org/officeDocument/2006/relationships/hyperlink" Target="https://ec.europa.eu/commission/presscorner/detail/es/ip_20_905" TargetMode="External"/><Relationship Id="rId161" Type="http://schemas.openxmlformats.org/officeDocument/2006/relationships/hyperlink" Target="https://eur-lex.europa.eu/legal-content/EN/AUTO/?uri=uriserv:OJ.L_.2020.130.01.0018.01.ENG&amp;toc=OJ:L:2020:130:TOC" TargetMode="External"/><Relationship Id="rId166" Type="http://schemas.openxmlformats.org/officeDocument/2006/relationships/hyperlink" Target="http://www.covid19dataportal.org/" TargetMode="External"/><Relationship Id="rId182" Type="http://schemas.openxmlformats.org/officeDocument/2006/relationships/hyperlink" Target="https://ec.europa.eu/commission/presscorner/detail/es/ip_20_510" TargetMode="External"/><Relationship Id="rId187" Type="http://schemas.openxmlformats.org/officeDocument/2006/relationships/hyperlink" Target="https://ec.europa.eu/health/preparedness_response/joint_procurement_es" TargetMode="External"/><Relationship Id="rId1" Type="http://schemas.openxmlformats.org/officeDocument/2006/relationships/numbering" Target="numbering.xml"/><Relationship Id="rId6" Type="http://schemas.openxmlformats.org/officeDocument/2006/relationships/hyperlink" Target="https://economy-finance.ec.europa.eu/document/51f920eb-d163-43ae-b5da-d793290bb54d_en" TargetMode="External"/><Relationship Id="rId23" Type="http://schemas.openxmlformats.org/officeDocument/2006/relationships/hyperlink" Target="https://ec.europa.eu/commission/presscorner/detail/es/ip_21_6185" TargetMode="External"/><Relationship Id="rId28" Type="http://schemas.openxmlformats.org/officeDocument/2006/relationships/hyperlink" Target="https://ec.europa.eu/commission/presscorner/detail/es/ip_21_5366" TargetMode="External"/><Relationship Id="rId49" Type="http://schemas.openxmlformats.org/officeDocument/2006/relationships/hyperlink" Target="https://ec.europa.eu/commission/presscorner/detail/en/ip_21_2548" TargetMode="External"/><Relationship Id="rId114" Type="http://schemas.openxmlformats.org/officeDocument/2006/relationships/hyperlink" Target="https://www.consilium.europa.eu/es/press/press-releases/2020/07/21/european-council-conclusions-17-21-july-2020/" TargetMode="External"/><Relationship Id="rId119" Type="http://schemas.openxmlformats.org/officeDocument/2006/relationships/hyperlink" Target="https://ec.europa.eu/commission/presscorner/detail/%5beuropa_tokens:europa_interface_language%5d/ip_20_1221" TargetMode="External"/><Relationship Id="rId44" Type="http://schemas.openxmlformats.org/officeDocument/2006/relationships/hyperlink" Target="https://ec.europa.eu/commission/presscorner/detail/en/ip_21_3262" TargetMode="External"/><Relationship Id="rId60" Type="http://schemas.openxmlformats.org/officeDocument/2006/relationships/hyperlink" Target="https://ec.europa.eu/commission/presscorner/detail/en/ip_21_655" TargetMode="External"/><Relationship Id="rId65" Type="http://schemas.openxmlformats.org/officeDocument/2006/relationships/hyperlink" Target="https://ec.europa.eu/commission/presscorner/detail/en/ip_21_45" TargetMode="External"/><Relationship Id="rId81" Type="http://schemas.openxmlformats.org/officeDocument/2006/relationships/hyperlink" Target="https://ec.europa.eu/commission/presscorner/detail/en/ip_20_1606" TargetMode="External"/><Relationship Id="rId86" Type="http://schemas.openxmlformats.org/officeDocument/2006/relationships/hyperlink" Target="https://ec.europa.eu/commission/presscorner/detail/en/ip_20_1680" TargetMode="External"/><Relationship Id="rId130" Type="http://schemas.openxmlformats.org/officeDocument/2006/relationships/hyperlink" Target="http://audiovisual.ec.europa.eu/en/topnews/M-004931" TargetMode="External"/><Relationship Id="rId135" Type="http://schemas.openxmlformats.org/officeDocument/2006/relationships/hyperlink" Target="https://ec.europa.eu/commission/presscorner/detail/es/ip_20_797" TargetMode="External"/><Relationship Id="rId151" Type="http://schemas.openxmlformats.org/officeDocument/2006/relationships/hyperlink" Target="https://europa.eu/!kX49mU" TargetMode="External"/><Relationship Id="rId156" Type="http://schemas.openxmlformats.org/officeDocument/2006/relationships/hyperlink" Target="https://ec.europa.eu/commission/presscorner/detail/es/ip_20_777" TargetMode="External"/><Relationship Id="rId177" Type="http://schemas.openxmlformats.org/officeDocument/2006/relationships/hyperlink" Target="https://ec.europa.eu/commission/presscorner/detail/es/ip_20_533" TargetMode="External"/><Relationship Id="rId172" Type="http://schemas.openxmlformats.org/officeDocument/2006/relationships/hyperlink" Target="https://ec.europa.eu/commission/presscorner/detail/es/ip_20_545" TargetMode="External"/><Relationship Id="rId193" Type="http://schemas.openxmlformats.org/officeDocument/2006/relationships/hyperlink" Target="https://ec.europa.eu/commission/presscorner/detail/es/IP_20_142" TargetMode="External"/><Relationship Id="rId13" Type="http://schemas.openxmlformats.org/officeDocument/2006/relationships/hyperlink" Target="https://ec.europa.eu/commission/presscorner/detail/en/ip_22_1987" TargetMode="External"/><Relationship Id="rId18" Type="http://schemas.openxmlformats.org/officeDocument/2006/relationships/hyperlink" Target="https://ec.europa.eu/commission/presscorner/detail/en/ip_22_430" TargetMode="External"/><Relationship Id="rId39" Type="http://schemas.openxmlformats.org/officeDocument/2006/relationships/hyperlink" Target="https://ec.europa.eu/commission/presscorner/detail/en/ip_21_3803" TargetMode="External"/><Relationship Id="rId109" Type="http://schemas.openxmlformats.org/officeDocument/2006/relationships/hyperlink" Target="https://ec.europa.eu/commission/presscorner/detail/%5beuropa_tokens:europa_interface_language%5d/ip_20_1439" TargetMode="External"/><Relationship Id="rId34" Type="http://schemas.openxmlformats.org/officeDocument/2006/relationships/hyperlink" Target="https://ec.europa.eu/commission/presscorner/detail/en/ip_21_4876" TargetMode="External"/><Relationship Id="rId50" Type="http://schemas.openxmlformats.org/officeDocument/2006/relationships/hyperlink" Target="https://ec.europa.eu/commission/presscorner/detail/en/ip_21_1986" TargetMode="External"/><Relationship Id="rId55" Type="http://schemas.openxmlformats.org/officeDocument/2006/relationships/hyperlink" Target="https://ec.europa.eu/echo/what/civil-protection/mechanism_en" TargetMode="External"/><Relationship Id="rId76" Type="http://schemas.openxmlformats.org/officeDocument/2006/relationships/hyperlink" Target="https://ec.europa.eu/commission/presscorner/detail/en/ip_20_2073" TargetMode="External"/><Relationship Id="rId97" Type="http://schemas.openxmlformats.org/officeDocument/2006/relationships/hyperlink" Target="https://ec.europa.eu/commission/presscorner/detail/en/ip_20_1481" TargetMode="External"/><Relationship Id="rId104" Type="http://schemas.openxmlformats.org/officeDocument/2006/relationships/hyperlink" Target="https://ec.europa.eu/commission/presscorner/detail/%5beuropa_tokens:europa_interface_language%5d/ip_20_1481" TargetMode="External"/><Relationship Id="rId120" Type="http://schemas.openxmlformats.org/officeDocument/2006/relationships/hyperlink" Target="https://ec.europa.eu/commission/presscorner/detail/%5beuropa_tokens:europa_interface_language%5d/ip_20_496" TargetMode="External"/><Relationship Id="rId125" Type="http://schemas.openxmlformats.org/officeDocument/2006/relationships/hyperlink" Target="https://ec.europa.eu/commission/presscorner/detail/%5beuropa_tokens:europa_interface_language%5d/ip_20_1180" TargetMode="External"/><Relationship Id="rId141" Type="http://schemas.openxmlformats.org/officeDocument/2006/relationships/hyperlink" Target="https://ec.europa.eu/commission/presscorner/detail/es/mex_20_939" TargetMode="External"/><Relationship Id="rId146" Type="http://schemas.openxmlformats.org/officeDocument/2006/relationships/hyperlink" Target="https://ec.europa.eu/commission/presscorner/detail/es/mex_20_917" TargetMode="External"/><Relationship Id="rId167" Type="http://schemas.openxmlformats.org/officeDocument/2006/relationships/hyperlink" Target="https://ec.europa.eu/commission/presscorner/detail/es/ip_20_680" TargetMode="External"/><Relationship Id="rId188" Type="http://schemas.openxmlformats.org/officeDocument/2006/relationships/hyperlink" Target="https://ec.europa.eu/commission/presscorner/detail/es/ip_20_523" TargetMode="External"/><Relationship Id="rId7" Type="http://schemas.openxmlformats.org/officeDocument/2006/relationships/hyperlink" Target="https://ec.europa.eu/commission/presscorner/detail/en/ip_22_5397" TargetMode="External"/><Relationship Id="rId71" Type="http://schemas.openxmlformats.org/officeDocument/2006/relationships/hyperlink" Target="http://audiovisual.ec.europa.eu/en/topnews/M-006027" TargetMode="External"/><Relationship Id="rId92" Type="http://schemas.openxmlformats.org/officeDocument/2006/relationships/hyperlink" Target="https://ec.europa.eu/commission/presscorner/detail/en/ip_20_1680" TargetMode="External"/><Relationship Id="rId162" Type="http://schemas.openxmlformats.org/officeDocument/2006/relationships/hyperlink" Target="https://ec.europa.eu/commission/presscorner/detail/es/ip_20_716" TargetMode="External"/><Relationship Id="rId183" Type="http://schemas.openxmlformats.org/officeDocument/2006/relationships/hyperlink" Target="https://audiovisual.ec.europa.eu/en/topnews/M-004608" TargetMode="External"/><Relationship Id="rId2" Type="http://schemas.openxmlformats.org/officeDocument/2006/relationships/styles" Target="styles.xml"/><Relationship Id="rId29" Type="http://schemas.openxmlformats.org/officeDocument/2006/relationships/hyperlink" Target="https://ec.europa.eu/commission/presscorner/detail/en/statement_21_5341" TargetMode="External"/><Relationship Id="rId24" Type="http://schemas.openxmlformats.org/officeDocument/2006/relationships/hyperlink" Target="https://ec.europa.eu/competition-policy/state-aid/coronavirus/temporary-framework_en" TargetMode="External"/><Relationship Id="rId40" Type="http://schemas.openxmlformats.org/officeDocument/2006/relationships/hyperlink" Target="https://ec.europa.eu/commission/presscorner/detail/en/ip_21_3745" TargetMode="External"/><Relationship Id="rId45" Type="http://schemas.openxmlformats.org/officeDocument/2006/relationships/hyperlink" Target="https://ec.europa.eu/commission/presscorner/detail/en/ip_21_3153" TargetMode="External"/><Relationship Id="rId66" Type="http://schemas.openxmlformats.org/officeDocument/2006/relationships/hyperlink" Target="https://ec.europa.eu/commission/presscorner/detail/en/ip_21_9" TargetMode="External"/><Relationship Id="rId87" Type="http://schemas.openxmlformats.org/officeDocument/2006/relationships/hyperlink" Target="https://ec.europa.eu/commission/presscorner/detail/en/IP_20_1494" TargetMode="External"/><Relationship Id="rId110" Type="http://schemas.openxmlformats.org/officeDocument/2006/relationships/hyperlink" Target="https://ec.europa.eu/commission/presscorner/detail/%5beuropa_tokens:europa_interface_language%5d/ip_20_1424" TargetMode="External"/><Relationship Id="rId115" Type="http://schemas.openxmlformats.org/officeDocument/2006/relationships/hyperlink" Target="https://ec.europa.eu/commission/presscorner/detail/%5beuropa_tokens:europa_interface_language%5d/ip_20_1374" TargetMode="External"/><Relationship Id="rId131" Type="http://schemas.openxmlformats.org/officeDocument/2006/relationships/hyperlink" Target="https://reopen.europa.eu/" TargetMode="External"/><Relationship Id="rId136" Type="http://schemas.openxmlformats.org/officeDocument/2006/relationships/hyperlink" Target="https://www.globalcitizen.org/en/" TargetMode="External"/><Relationship Id="rId157" Type="http://schemas.openxmlformats.org/officeDocument/2006/relationships/hyperlink" Target="https://ec.europa.eu/commission/presscorner/detail/es/ip_20_740" TargetMode="External"/><Relationship Id="rId178" Type="http://schemas.openxmlformats.org/officeDocument/2006/relationships/hyperlink" Target="https://ec.europa.eu/commission/presscorner/detail/es/statement_20_537" TargetMode="External"/><Relationship Id="rId61" Type="http://schemas.openxmlformats.org/officeDocument/2006/relationships/hyperlink" Target="https://ec.europa.eu/commission/presscorner/detail/en/ip_21_641" TargetMode="External"/><Relationship Id="rId82" Type="http://schemas.openxmlformats.org/officeDocument/2006/relationships/hyperlink" Target="https://ec.europa.eu/commission/presscorner/detail/en/ip_20_1937" TargetMode="External"/><Relationship Id="rId152" Type="http://schemas.openxmlformats.org/officeDocument/2006/relationships/hyperlink" Target="https://europa.eu/!Ch78yG" TargetMode="External"/><Relationship Id="rId173" Type="http://schemas.openxmlformats.org/officeDocument/2006/relationships/hyperlink" Target="https://ec.europa.eu/commission/presscorner/detail/es/ip_20_543" TargetMode="External"/><Relationship Id="rId194" Type="http://schemas.openxmlformats.org/officeDocument/2006/relationships/hyperlink" Target="https://ec.europa.eu/health/coronavirus/hsc_en" TargetMode="External"/><Relationship Id="rId19" Type="http://schemas.openxmlformats.org/officeDocument/2006/relationships/hyperlink" Target="https://ec.europa.eu/commission/presscorner/detail/en/ip_21_6471" TargetMode="External"/><Relationship Id="rId14" Type="http://schemas.openxmlformats.org/officeDocument/2006/relationships/hyperlink" Target="https://ec.europa.eu/commission/presscorner/detail/en/ip_22_928" TargetMode="External"/><Relationship Id="rId30" Type="http://schemas.openxmlformats.org/officeDocument/2006/relationships/hyperlink" Target="https://ec.europa.eu/commission/presscorner/detail/es/ip_21_5267" TargetMode="External"/><Relationship Id="rId35" Type="http://schemas.openxmlformats.org/officeDocument/2006/relationships/hyperlink" Target="https://ec.europa.eu/commission/presscorner/detail/en/ip_21_4402" TargetMode="External"/><Relationship Id="rId56" Type="http://schemas.openxmlformats.org/officeDocument/2006/relationships/hyperlink" Target="https://ec.europa.eu/echo/what/civil-protection/resceu_en" TargetMode="External"/><Relationship Id="rId77" Type="http://schemas.openxmlformats.org/officeDocument/2006/relationships/hyperlink" Target="https://ec.europa.eu/commission/presscorner/detail/en/ip_20_2067" TargetMode="External"/><Relationship Id="rId100" Type="http://schemas.openxmlformats.org/officeDocument/2006/relationships/hyperlink" Target="https://ec.europa.eu/commission/presscorner/detail/en/ip_20_1524" TargetMode="External"/><Relationship Id="rId105" Type="http://schemas.openxmlformats.org/officeDocument/2006/relationships/hyperlink" Target="https://ec.europa.eu/commission/presscorner/detail/%5beuropa_tokens:europa_interface_language%5d/IP_20_1494" TargetMode="External"/><Relationship Id="rId126" Type="http://schemas.openxmlformats.org/officeDocument/2006/relationships/hyperlink" Target="https://ec.europa.eu/commission/presscorner/detail/en/ip_20_1074" TargetMode="External"/><Relationship Id="rId147" Type="http://schemas.openxmlformats.org/officeDocument/2006/relationships/hyperlink" Target="https://cordis.europa.eu/project/id/101003713" TargetMode="External"/><Relationship Id="rId168" Type="http://schemas.openxmlformats.org/officeDocument/2006/relationships/hyperlink" Target="https://ec.europa.eu/commission/presscorner/detail/es/mex_20_686" TargetMode="External"/><Relationship Id="rId8" Type="http://schemas.openxmlformats.org/officeDocument/2006/relationships/hyperlink" Target="https://www.ema.europa.eu/en/news/ema-recommends-valnevas-covid-19-vaccine-authorisation-eu" TargetMode="External"/><Relationship Id="rId51" Type="http://schemas.openxmlformats.org/officeDocument/2006/relationships/hyperlink" Target="https://ec.europa.eu/commission/presscorner/detail/es/ip_21_1826" TargetMode="External"/><Relationship Id="rId72" Type="http://schemas.openxmlformats.org/officeDocument/2006/relationships/hyperlink" Target="https://ec.europa.eu/health/sites/health/files/preparedness_response/docs/covid-19_rat_recommendation_en.pdf" TargetMode="External"/><Relationship Id="rId93" Type="http://schemas.openxmlformats.org/officeDocument/2006/relationships/hyperlink" Target="https://ec.europa.eu/commission/presscorner/detail/en/ip_20_1590" TargetMode="External"/><Relationship Id="rId98" Type="http://schemas.openxmlformats.org/officeDocument/2006/relationships/hyperlink" Target="https://ec.europa.eu/commission/presscorner/detail/en/IP_20_1494" TargetMode="External"/><Relationship Id="rId121" Type="http://schemas.openxmlformats.org/officeDocument/2006/relationships/hyperlink" Target="https://ec.europa.eu/commission/presscorner/detail/%5beuropa_tokens:europa_interface_language%5d/ip_20_1129" TargetMode="External"/><Relationship Id="rId142" Type="http://schemas.openxmlformats.org/officeDocument/2006/relationships/hyperlink" Target="https://europa.eu/youreurope/business/running-business/developing-business/setting-up-european-company/index_en.htm" TargetMode="External"/><Relationship Id="rId163" Type="http://schemas.openxmlformats.org/officeDocument/2006/relationships/hyperlink" Target="https://ec.europa.eu/commission/presscorner/detail/es/ip_20_604" TargetMode="External"/><Relationship Id="rId184" Type="http://schemas.openxmlformats.org/officeDocument/2006/relationships/hyperlink" Target="https://ec.europa.eu/commission/presscorner/detail/es/ip_20_499" TargetMode="External"/><Relationship Id="rId189" Type="http://schemas.openxmlformats.org/officeDocument/2006/relationships/hyperlink" Target="https://ec.europa.eu/commission/presscorner/detail/es/ip_20_316" TargetMode="External"/><Relationship Id="rId3" Type="http://schemas.openxmlformats.org/officeDocument/2006/relationships/settings" Target="settings.xml"/><Relationship Id="rId25" Type="http://schemas.openxmlformats.org/officeDocument/2006/relationships/hyperlink" Target="https://ec.europa.eu/commission/presscorner/detail/es/ip_21_5901" TargetMode="External"/><Relationship Id="rId46" Type="http://schemas.openxmlformats.org/officeDocument/2006/relationships/hyperlink" Target="https://ec.europa.eu/commission/presscorner/detail/en/ip_21_2592" TargetMode="External"/><Relationship Id="rId67" Type="http://schemas.openxmlformats.org/officeDocument/2006/relationships/hyperlink" Target="https://ec.europa.eu/commission/presscorner/detail/en/ip_21_3" TargetMode="External"/><Relationship Id="rId116" Type="http://schemas.openxmlformats.org/officeDocument/2006/relationships/hyperlink" Target="https://ec.europa.eu/commission/presscorner/detail/%5beuropa_tokens:europa_interface_language%5d/ip_20_1342" TargetMode="External"/><Relationship Id="rId137" Type="http://schemas.openxmlformats.org/officeDocument/2006/relationships/hyperlink" Target="https://ec.europa.eu/commission/presscorner/detail/es/ip_20_940" TargetMode="External"/><Relationship Id="rId158" Type="http://schemas.openxmlformats.org/officeDocument/2006/relationships/hyperlink" Target="https://europa.eu/global-response/" TargetMode="External"/><Relationship Id="rId20" Type="http://schemas.openxmlformats.org/officeDocument/2006/relationships/hyperlink" Target="https://ec.europa.eu/commission/presscorner/detail/es/ip_21_6473" TargetMode="External"/><Relationship Id="rId41" Type="http://schemas.openxmlformats.org/officeDocument/2006/relationships/hyperlink" Target="https://ec.europa.eu/commission/presscorner/detail/en/ip_21_3727" TargetMode="External"/><Relationship Id="rId62" Type="http://schemas.openxmlformats.org/officeDocument/2006/relationships/hyperlink" Target="https://www.consilium.europa.eu/en/press/press-releases/2021/02/11/eu-recovery-package-council-adopts-recovery-and-resilience-facility/" TargetMode="External"/><Relationship Id="rId83" Type="http://schemas.openxmlformats.org/officeDocument/2006/relationships/hyperlink" Target="https://ec.europa.eu/health/sites/health/files/vaccination/docs/2020_strategies_deployment_en.pdf" TargetMode="External"/><Relationship Id="rId88" Type="http://schemas.openxmlformats.org/officeDocument/2006/relationships/hyperlink" Target="https://ec.europa.eu/commission/presscorner/detail/en/ip_20_1556" TargetMode="External"/><Relationship Id="rId111" Type="http://schemas.openxmlformats.org/officeDocument/2006/relationships/hyperlink" Target="https://ec.europa.eu/commission/presscorner/detail/%5beuropa_tokens:europa_interface_language%5d/ip_20_1416" TargetMode="External"/><Relationship Id="rId132" Type="http://schemas.openxmlformats.org/officeDocument/2006/relationships/hyperlink" Target="https://ec.europa.eu/commission/presscorner/detail/en/ip_20_1045" TargetMode="External"/><Relationship Id="rId153" Type="http://schemas.openxmlformats.org/officeDocument/2006/relationships/hyperlink" Target="https://ec.europa.eu/info/news/covid19-horizon-2020-partly-funding-innovative-medicines-initiative-fast-track-call-2020-mar-03_en" TargetMode="External"/><Relationship Id="rId174" Type="http://schemas.openxmlformats.org/officeDocument/2006/relationships/hyperlink" Target="https://audiovisual.ec.europa.eu/en/topnews/M-004626" TargetMode="External"/><Relationship Id="rId179" Type="http://schemas.openxmlformats.org/officeDocument/2006/relationships/hyperlink" Target="https://trade.ec.europa.eu/doclib/docs/2020/march/tradoc_158676.pdf" TargetMode="External"/><Relationship Id="rId195" Type="http://schemas.openxmlformats.org/officeDocument/2006/relationships/fontTable" Target="fontTable.xml"/><Relationship Id="rId190" Type="http://schemas.openxmlformats.org/officeDocument/2006/relationships/hyperlink" Target="https://ec.europa.eu/commission/presscorner/detail/es/ip_20_310" TargetMode="External"/><Relationship Id="rId15" Type="http://schemas.openxmlformats.org/officeDocument/2006/relationships/hyperlink" Target="https://ec.europa.eu/commission/presscorner/detail/en/ip_22_845" TargetMode="External"/><Relationship Id="rId36" Type="http://schemas.openxmlformats.org/officeDocument/2006/relationships/hyperlink" Target="https://ec.europa.eu/commission/presscorner/detail/en/ip_21_4225" TargetMode="External"/><Relationship Id="rId57" Type="http://schemas.openxmlformats.org/officeDocument/2006/relationships/hyperlink" Target="https://ec.europa.eu/commission/presscorner/detail/en/ip_21_1088" TargetMode="External"/><Relationship Id="rId106" Type="http://schemas.openxmlformats.org/officeDocument/2006/relationships/hyperlink" Target="https://ec.europa.eu/commission/presscorner/detail/%5beuropa_tokens:europa_interface_language%5d/ip_20_1513" TargetMode="External"/><Relationship Id="rId127" Type="http://schemas.openxmlformats.org/officeDocument/2006/relationships/hyperlink" Target="https://ec.europa.eu/commission/presscorner/detail/en/ip_20_1064" TargetMode="External"/><Relationship Id="rId10" Type="http://schemas.openxmlformats.org/officeDocument/2006/relationships/hyperlink" Target="https://ec.europa.eu/commission/presscorner/detail/en/ip_22_2646" TargetMode="External"/><Relationship Id="rId31" Type="http://schemas.openxmlformats.org/officeDocument/2006/relationships/hyperlink" Target="https://ec.europa.eu/commission/presscorner/detail/en/ip_21_4912" TargetMode="External"/><Relationship Id="rId52" Type="http://schemas.openxmlformats.org/officeDocument/2006/relationships/hyperlink" Target="https://ec.europa.eu/commission/presscorner/detail/es/ip_21_1703" TargetMode="External"/><Relationship Id="rId73" Type="http://schemas.openxmlformats.org/officeDocument/2006/relationships/hyperlink" Target="https://ec.europa.eu/commission/presscorner/detail/en/ip_20_2075" TargetMode="External"/><Relationship Id="rId78" Type="http://schemas.openxmlformats.org/officeDocument/2006/relationships/hyperlink" Target="https://ec.europa.eu/commission/presscorner/detail/en/ip_20_1971" TargetMode="External"/><Relationship Id="rId94" Type="http://schemas.openxmlformats.org/officeDocument/2006/relationships/hyperlink" Target="https://ec.europa.eu/commission/presscorner/detail/en/ip_20_1581" TargetMode="External"/><Relationship Id="rId99" Type="http://schemas.openxmlformats.org/officeDocument/2006/relationships/hyperlink" Target="https://ec.europa.eu/commission/presscorner/detail/en/ip_20_1513" TargetMode="External"/><Relationship Id="rId101" Type="http://schemas.openxmlformats.org/officeDocument/2006/relationships/hyperlink" Target="https://ec.europa.eu/commission/presscorner/detail/%5beuropa_tokens:europa_interface_language%5d/ip_20_1540" TargetMode="External"/><Relationship Id="rId122" Type="http://schemas.openxmlformats.org/officeDocument/2006/relationships/hyperlink" Target="https://global-response.europa.eu/index_en" TargetMode="External"/><Relationship Id="rId143" Type="http://schemas.openxmlformats.org/officeDocument/2006/relationships/hyperlink" Target="https://ec.europa.eu/growth/sectors/social-economy/cooperatives/european-cooperative-society_en" TargetMode="External"/><Relationship Id="rId148" Type="http://schemas.openxmlformats.org/officeDocument/2006/relationships/hyperlink" Target="https://ec.europa.eu/commission/presscorner/detail/es/ip_20_887" TargetMode="External"/><Relationship Id="rId164" Type="http://schemas.openxmlformats.org/officeDocument/2006/relationships/hyperlink" Target="https://ec.europa.eu/commission/presscorner/detail/es/ip_20_722" TargetMode="External"/><Relationship Id="rId169" Type="http://schemas.openxmlformats.org/officeDocument/2006/relationships/hyperlink" Target="https://ec.europa.eu/commission/presscorner/detail/es/ip_20_549" TargetMode="External"/><Relationship Id="rId185" Type="http://schemas.openxmlformats.org/officeDocument/2006/relationships/hyperlink" Target="https://audiovisual.ec.europa.eu/en/topnews/M-004595" TargetMode="External"/><Relationship Id="rId4" Type="http://schemas.openxmlformats.org/officeDocument/2006/relationships/webSettings" Target="webSettings.xml"/><Relationship Id="rId9" Type="http://schemas.openxmlformats.org/officeDocument/2006/relationships/hyperlink" Target="https://ec.europa.eu/commission/presscorner/detail/en/ip_22_3375" TargetMode="External"/><Relationship Id="rId180" Type="http://schemas.openxmlformats.org/officeDocument/2006/relationships/hyperlink" Target="https://ec.europa.eu/commission/presscorner/detail/es/IP_20_528" TargetMode="External"/><Relationship Id="rId26" Type="http://schemas.openxmlformats.org/officeDocument/2006/relationships/hyperlink" Target="https://ec.europa.eu/info/files/communication-eu-strategy-covid-19-therapeutics_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15352</Words>
  <Characters>84437</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99590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ARRIOLA</dc:creator>
  <cp:keywords/>
  <dc:description/>
  <cp:lastModifiedBy>JOAQUIN ARRIOLA</cp:lastModifiedBy>
  <cp:revision>2</cp:revision>
  <dcterms:created xsi:type="dcterms:W3CDTF">2022-10-25T11:36:00Z</dcterms:created>
  <dcterms:modified xsi:type="dcterms:W3CDTF">2022-10-25T11:36:00Z</dcterms:modified>
</cp:coreProperties>
</file>